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88" w:rsidRDefault="007A7E88" w:rsidP="007A7E88">
      <w:pPr>
        <w:spacing w:line="240" w:lineRule="auto"/>
        <w:contextualSpacing/>
        <w:jc w:val="center"/>
        <w:rPr>
          <w:b/>
          <w:sz w:val="32"/>
          <w:szCs w:val="32"/>
        </w:rPr>
      </w:pPr>
      <w:r w:rsidRPr="000A1F88">
        <w:rPr>
          <w:b/>
          <w:i/>
          <w:sz w:val="32"/>
          <w:szCs w:val="32"/>
        </w:rPr>
        <w:t xml:space="preserve">The </w:t>
      </w:r>
      <w:r w:rsidRPr="000A1F88">
        <w:rPr>
          <w:b/>
          <w:sz w:val="32"/>
          <w:szCs w:val="32"/>
        </w:rPr>
        <w:t>HENLEY College</w:t>
      </w:r>
    </w:p>
    <w:p w:rsidR="007A7E88" w:rsidRPr="000A1F88" w:rsidRDefault="007A7E88" w:rsidP="007A7E88">
      <w:pPr>
        <w:spacing w:line="240" w:lineRule="auto"/>
        <w:contextualSpacing/>
        <w:jc w:val="center"/>
        <w:rPr>
          <w:b/>
          <w:sz w:val="32"/>
          <w:szCs w:val="32"/>
        </w:rPr>
      </w:pPr>
    </w:p>
    <w:p w:rsidR="007A7E88" w:rsidRPr="000A1F88" w:rsidRDefault="007A7E88" w:rsidP="007A7E88">
      <w:pPr>
        <w:spacing w:line="240" w:lineRule="auto"/>
        <w:contextualSpacing/>
        <w:jc w:val="center"/>
        <w:rPr>
          <w:b/>
          <w:sz w:val="32"/>
          <w:szCs w:val="32"/>
        </w:rPr>
      </w:pPr>
      <w:r w:rsidRPr="000A1F88">
        <w:rPr>
          <w:b/>
          <w:sz w:val="32"/>
          <w:szCs w:val="32"/>
        </w:rPr>
        <w:t>EQUALITY, DIVERSITY AND INCLUSION REPORT</w:t>
      </w:r>
      <w:r>
        <w:rPr>
          <w:b/>
          <w:sz w:val="32"/>
          <w:szCs w:val="32"/>
        </w:rPr>
        <w:t xml:space="preserve"> (</w:t>
      </w:r>
      <w:r w:rsidR="007508DA">
        <w:rPr>
          <w:b/>
          <w:sz w:val="32"/>
          <w:szCs w:val="32"/>
        </w:rPr>
        <w:t>Novem</w:t>
      </w:r>
      <w:r>
        <w:rPr>
          <w:b/>
          <w:sz w:val="32"/>
          <w:szCs w:val="32"/>
        </w:rPr>
        <w:t xml:space="preserve">ber </w:t>
      </w:r>
      <w:r w:rsidRPr="000A1F88">
        <w:rPr>
          <w:b/>
          <w:sz w:val="32"/>
          <w:szCs w:val="32"/>
        </w:rPr>
        <w:t>2012</w:t>
      </w:r>
      <w:r>
        <w:rPr>
          <w:b/>
          <w:sz w:val="32"/>
          <w:szCs w:val="32"/>
        </w:rPr>
        <w:t>)</w:t>
      </w:r>
    </w:p>
    <w:p w:rsidR="007A7E88" w:rsidRDefault="007A7E88" w:rsidP="007A7E88">
      <w:pPr>
        <w:spacing w:line="240" w:lineRule="auto"/>
        <w:contextualSpacing/>
        <w:jc w:val="center"/>
        <w:rPr>
          <w:b/>
          <w:sz w:val="28"/>
          <w:szCs w:val="28"/>
        </w:rPr>
      </w:pPr>
    </w:p>
    <w:p w:rsidR="007A7E88" w:rsidRPr="00F62AFC" w:rsidRDefault="007A7E88" w:rsidP="007A7E88">
      <w:pPr>
        <w:spacing w:line="240" w:lineRule="auto"/>
        <w:contextualSpacing/>
        <w:jc w:val="center"/>
        <w:rPr>
          <w:b/>
          <w:sz w:val="32"/>
          <w:szCs w:val="32"/>
        </w:rPr>
      </w:pPr>
      <w:r w:rsidRPr="00F62AFC">
        <w:rPr>
          <w:b/>
          <w:sz w:val="32"/>
          <w:szCs w:val="32"/>
        </w:rPr>
        <w:t>THIS REPORT CONTAINS DATA COLLECTION FOR THE ACADEMIC YEARS</w:t>
      </w:r>
      <w:r w:rsidR="00AE2B5B">
        <w:rPr>
          <w:b/>
          <w:sz w:val="32"/>
          <w:szCs w:val="32"/>
        </w:rPr>
        <w:t xml:space="preserve"> </w:t>
      </w:r>
      <w:r w:rsidRPr="00F62AFC">
        <w:rPr>
          <w:b/>
          <w:sz w:val="32"/>
          <w:szCs w:val="32"/>
        </w:rPr>
        <w:t>2008–2009, 2009–2010, 2010-2011</w:t>
      </w:r>
    </w:p>
    <w:p w:rsidR="007A7E88" w:rsidRPr="00BD5C19" w:rsidRDefault="007A7E88" w:rsidP="00AE2B5B">
      <w:pPr>
        <w:spacing w:after="0"/>
        <w:jc w:val="center"/>
        <w:rPr>
          <w:sz w:val="32"/>
          <w:szCs w:val="32"/>
        </w:rPr>
      </w:pPr>
    </w:p>
    <w:p w:rsidR="007A7E88" w:rsidRDefault="007A7E88" w:rsidP="007A7E88">
      <w:pPr>
        <w:rPr>
          <w:b/>
          <w:sz w:val="28"/>
          <w:szCs w:val="28"/>
          <w:u w:val="single"/>
        </w:rPr>
      </w:pPr>
      <w:r w:rsidRPr="000A7982">
        <w:rPr>
          <w:b/>
          <w:sz w:val="28"/>
          <w:szCs w:val="28"/>
          <w:u w:val="single"/>
        </w:rPr>
        <w:t>CONTENTS</w:t>
      </w:r>
    </w:p>
    <w:p w:rsidR="007A7E88" w:rsidRDefault="007A7E88" w:rsidP="007A7E88">
      <w:pPr>
        <w:rPr>
          <w:sz w:val="28"/>
          <w:szCs w:val="28"/>
        </w:rPr>
      </w:pPr>
      <w:r w:rsidRPr="009F3BB3">
        <w:rPr>
          <w:b/>
          <w:sz w:val="28"/>
          <w:szCs w:val="28"/>
        </w:rPr>
        <w:t>INTRODUCTION</w:t>
      </w:r>
      <w:r w:rsidR="007F0E23">
        <w:rPr>
          <w:b/>
          <w:sz w:val="28"/>
          <w:szCs w:val="28"/>
        </w:rPr>
        <w:tab/>
      </w:r>
      <w:r w:rsidR="007F0E23">
        <w:rPr>
          <w:b/>
          <w:sz w:val="28"/>
          <w:szCs w:val="28"/>
        </w:rPr>
        <w:tab/>
      </w:r>
      <w:r w:rsidR="007F0E23">
        <w:rPr>
          <w:b/>
          <w:sz w:val="28"/>
          <w:szCs w:val="28"/>
        </w:rPr>
        <w:tab/>
      </w:r>
      <w:r w:rsidR="007F0E23">
        <w:rPr>
          <w:b/>
          <w:sz w:val="28"/>
          <w:szCs w:val="28"/>
        </w:rPr>
        <w:tab/>
      </w:r>
      <w:r w:rsidR="007F0E23">
        <w:rPr>
          <w:b/>
          <w:sz w:val="28"/>
          <w:szCs w:val="28"/>
        </w:rPr>
        <w:tab/>
      </w:r>
      <w:r w:rsidR="007F0E23">
        <w:rPr>
          <w:b/>
          <w:sz w:val="28"/>
          <w:szCs w:val="28"/>
        </w:rPr>
        <w:tab/>
      </w:r>
      <w:r w:rsidR="007F0E23">
        <w:rPr>
          <w:b/>
          <w:sz w:val="28"/>
          <w:szCs w:val="28"/>
        </w:rPr>
        <w:tab/>
      </w:r>
      <w:r w:rsidR="007F0E23">
        <w:rPr>
          <w:b/>
          <w:sz w:val="28"/>
          <w:szCs w:val="28"/>
        </w:rPr>
        <w:tab/>
        <w:t xml:space="preserve">       </w:t>
      </w:r>
      <w:r>
        <w:rPr>
          <w:sz w:val="28"/>
          <w:szCs w:val="28"/>
        </w:rPr>
        <w:t>Page</w:t>
      </w:r>
      <w:r w:rsidR="00C65701">
        <w:rPr>
          <w:sz w:val="28"/>
          <w:szCs w:val="28"/>
        </w:rPr>
        <w:t>s</w:t>
      </w:r>
      <w:r>
        <w:rPr>
          <w:sz w:val="28"/>
          <w:szCs w:val="28"/>
        </w:rPr>
        <w:t xml:space="preserve"> </w:t>
      </w:r>
      <w:r w:rsidR="00E1023F">
        <w:rPr>
          <w:sz w:val="28"/>
          <w:szCs w:val="28"/>
        </w:rPr>
        <w:t>2</w:t>
      </w:r>
      <w:r w:rsidR="00C65701">
        <w:rPr>
          <w:sz w:val="28"/>
          <w:szCs w:val="28"/>
        </w:rPr>
        <w:t xml:space="preserve"> &amp; 3</w:t>
      </w:r>
    </w:p>
    <w:p w:rsidR="007A7E88" w:rsidRDefault="007A7E88" w:rsidP="00C05089">
      <w:pPr>
        <w:rPr>
          <w:sz w:val="28"/>
          <w:szCs w:val="28"/>
        </w:rPr>
      </w:pPr>
      <w:r w:rsidRPr="007A7E88">
        <w:rPr>
          <w:b/>
          <w:sz w:val="28"/>
          <w:szCs w:val="28"/>
        </w:rPr>
        <w:t xml:space="preserve">SECTION </w:t>
      </w:r>
      <w:proofErr w:type="gramStart"/>
      <w:r w:rsidRPr="007A7E88">
        <w:rPr>
          <w:b/>
          <w:sz w:val="28"/>
          <w:szCs w:val="28"/>
        </w:rPr>
        <w:t>A</w:t>
      </w:r>
      <w:proofErr w:type="gramEnd"/>
      <w:r w:rsidRPr="007A7E88">
        <w:rPr>
          <w:b/>
          <w:sz w:val="28"/>
          <w:szCs w:val="28"/>
        </w:rPr>
        <w:t xml:space="preserve"> – STUDENTS</w:t>
      </w:r>
      <w:r w:rsidRPr="007A7E88">
        <w:rPr>
          <w:sz w:val="28"/>
          <w:szCs w:val="28"/>
        </w:rPr>
        <w:t xml:space="preserve">         </w:t>
      </w:r>
    </w:p>
    <w:p w:rsidR="007A7E88" w:rsidRPr="007A7E88" w:rsidRDefault="007A7E88" w:rsidP="00026508">
      <w:pPr>
        <w:pStyle w:val="ListParagraph"/>
        <w:numPr>
          <w:ilvl w:val="0"/>
          <w:numId w:val="6"/>
        </w:numPr>
        <w:spacing w:before="240" w:after="240" w:line="240" w:lineRule="auto"/>
        <w:ind w:left="284" w:firstLine="0"/>
        <w:rPr>
          <w:b/>
          <w:sz w:val="28"/>
          <w:szCs w:val="28"/>
        </w:rPr>
      </w:pPr>
      <w:r w:rsidRPr="007A7E88">
        <w:rPr>
          <w:b/>
          <w:sz w:val="28"/>
          <w:szCs w:val="28"/>
        </w:rPr>
        <w:t>STUDENT ETHNICITY AND GENDER DATA</w:t>
      </w:r>
      <w:r w:rsidR="007F0E23">
        <w:rPr>
          <w:b/>
          <w:sz w:val="28"/>
          <w:szCs w:val="28"/>
        </w:rPr>
        <w:tab/>
      </w:r>
      <w:r w:rsidR="007F0E23">
        <w:rPr>
          <w:b/>
          <w:sz w:val="28"/>
          <w:szCs w:val="28"/>
        </w:rPr>
        <w:tab/>
      </w:r>
      <w:r w:rsidR="007F0E23">
        <w:rPr>
          <w:b/>
          <w:sz w:val="28"/>
          <w:szCs w:val="28"/>
        </w:rPr>
        <w:tab/>
      </w:r>
      <w:r w:rsidR="007F0E23">
        <w:rPr>
          <w:b/>
          <w:sz w:val="28"/>
          <w:szCs w:val="28"/>
        </w:rPr>
        <w:tab/>
        <w:t xml:space="preserve">     </w:t>
      </w:r>
      <w:r w:rsidR="00E1023F">
        <w:rPr>
          <w:sz w:val="28"/>
          <w:szCs w:val="28"/>
        </w:rPr>
        <w:t xml:space="preserve">Page </w:t>
      </w:r>
      <w:r w:rsidR="00BE5407">
        <w:rPr>
          <w:sz w:val="28"/>
          <w:szCs w:val="28"/>
        </w:rPr>
        <w:t>4</w:t>
      </w:r>
    </w:p>
    <w:p w:rsidR="001C5626" w:rsidRPr="00836F7A" w:rsidRDefault="001C5626" w:rsidP="00026508">
      <w:pPr>
        <w:pStyle w:val="ListParagraph"/>
        <w:numPr>
          <w:ilvl w:val="0"/>
          <w:numId w:val="6"/>
        </w:numPr>
        <w:spacing w:before="240" w:after="240" w:line="240" w:lineRule="auto"/>
        <w:ind w:left="284" w:firstLine="0"/>
        <w:rPr>
          <w:sz w:val="28"/>
          <w:szCs w:val="28"/>
        </w:rPr>
      </w:pPr>
      <w:r w:rsidRPr="001C5626">
        <w:rPr>
          <w:b/>
          <w:sz w:val="28"/>
          <w:szCs w:val="28"/>
        </w:rPr>
        <w:t xml:space="preserve">STUDENT </w:t>
      </w:r>
      <w:r>
        <w:rPr>
          <w:b/>
          <w:sz w:val="28"/>
          <w:szCs w:val="28"/>
        </w:rPr>
        <w:t>DISABILITY</w:t>
      </w:r>
      <w:r w:rsidRPr="001C5626">
        <w:rPr>
          <w:b/>
          <w:sz w:val="28"/>
          <w:szCs w:val="28"/>
        </w:rPr>
        <w:t xml:space="preserve"> DATA</w:t>
      </w:r>
      <w:r w:rsidR="00836F7A">
        <w:rPr>
          <w:b/>
          <w:sz w:val="28"/>
          <w:szCs w:val="28"/>
        </w:rPr>
        <w:tab/>
      </w:r>
      <w:r w:rsidR="00836F7A">
        <w:rPr>
          <w:b/>
          <w:sz w:val="28"/>
          <w:szCs w:val="28"/>
        </w:rPr>
        <w:tab/>
      </w:r>
      <w:r w:rsidR="00836F7A">
        <w:rPr>
          <w:b/>
          <w:sz w:val="28"/>
          <w:szCs w:val="28"/>
        </w:rPr>
        <w:tab/>
      </w:r>
      <w:r w:rsidR="00836F7A">
        <w:rPr>
          <w:b/>
          <w:sz w:val="28"/>
          <w:szCs w:val="28"/>
        </w:rPr>
        <w:tab/>
      </w:r>
      <w:r w:rsidR="00836F7A">
        <w:rPr>
          <w:b/>
          <w:sz w:val="28"/>
          <w:szCs w:val="28"/>
        </w:rPr>
        <w:tab/>
      </w:r>
      <w:r w:rsidR="00836F7A">
        <w:rPr>
          <w:b/>
          <w:sz w:val="28"/>
          <w:szCs w:val="28"/>
        </w:rPr>
        <w:tab/>
        <w:t xml:space="preserve">     </w:t>
      </w:r>
      <w:r w:rsidR="00BE5407">
        <w:rPr>
          <w:sz w:val="28"/>
          <w:szCs w:val="28"/>
        </w:rPr>
        <w:t xml:space="preserve">Page </w:t>
      </w:r>
      <w:r w:rsidR="007F0E23">
        <w:rPr>
          <w:sz w:val="28"/>
          <w:szCs w:val="28"/>
        </w:rPr>
        <w:t>5</w:t>
      </w:r>
    </w:p>
    <w:p w:rsidR="00ED1B2A" w:rsidRPr="00836F7A" w:rsidRDefault="00ED1B2A" w:rsidP="00026508">
      <w:pPr>
        <w:pStyle w:val="ListParagraph"/>
        <w:numPr>
          <w:ilvl w:val="0"/>
          <w:numId w:val="6"/>
        </w:numPr>
        <w:spacing w:before="240" w:after="240" w:line="240" w:lineRule="auto"/>
        <w:ind w:left="284" w:firstLine="0"/>
        <w:rPr>
          <w:sz w:val="28"/>
          <w:szCs w:val="28"/>
        </w:rPr>
      </w:pPr>
      <w:r>
        <w:rPr>
          <w:b/>
          <w:sz w:val="28"/>
          <w:szCs w:val="28"/>
        </w:rPr>
        <w:t>UPGRADE DATA</w:t>
      </w:r>
      <w:r w:rsidR="00836F7A">
        <w:rPr>
          <w:b/>
          <w:sz w:val="28"/>
          <w:szCs w:val="28"/>
        </w:rPr>
        <w:tab/>
      </w:r>
      <w:r w:rsidR="00836F7A">
        <w:rPr>
          <w:b/>
          <w:sz w:val="28"/>
          <w:szCs w:val="28"/>
        </w:rPr>
        <w:tab/>
      </w:r>
      <w:r w:rsidR="00836F7A">
        <w:rPr>
          <w:b/>
          <w:sz w:val="28"/>
          <w:szCs w:val="28"/>
        </w:rPr>
        <w:tab/>
      </w:r>
      <w:r w:rsidR="00836F7A">
        <w:rPr>
          <w:b/>
          <w:sz w:val="28"/>
          <w:szCs w:val="28"/>
        </w:rPr>
        <w:tab/>
      </w:r>
      <w:r w:rsidR="00836F7A">
        <w:rPr>
          <w:b/>
          <w:sz w:val="28"/>
          <w:szCs w:val="28"/>
        </w:rPr>
        <w:tab/>
      </w:r>
      <w:r w:rsidR="00836F7A">
        <w:rPr>
          <w:b/>
          <w:sz w:val="28"/>
          <w:szCs w:val="28"/>
        </w:rPr>
        <w:tab/>
      </w:r>
      <w:r w:rsidR="00836F7A">
        <w:rPr>
          <w:b/>
          <w:sz w:val="28"/>
          <w:szCs w:val="28"/>
        </w:rPr>
        <w:tab/>
      </w:r>
      <w:r w:rsidR="007F0E23">
        <w:rPr>
          <w:b/>
          <w:sz w:val="28"/>
          <w:szCs w:val="28"/>
        </w:rPr>
        <w:tab/>
        <w:t xml:space="preserve">     </w:t>
      </w:r>
      <w:r w:rsidR="00BE5407">
        <w:rPr>
          <w:sz w:val="28"/>
          <w:szCs w:val="28"/>
        </w:rPr>
        <w:t xml:space="preserve">Page </w:t>
      </w:r>
      <w:r w:rsidR="007F0E23">
        <w:rPr>
          <w:sz w:val="28"/>
          <w:szCs w:val="28"/>
        </w:rPr>
        <w:t>6</w:t>
      </w:r>
    </w:p>
    <w:p w:rsidR="00AE45DF" w:rsidRPr="00C05089" w:rsidRDefault="00AE45DF" w:rsidP="00AE2B5B">
      <w:pPr>
        <w:pStyle w:val="ListParagraph"/>
        <w:spacing w:after="0" w:line="240" w:lineRule="auto"/>
        <w:rPr>
          <w:b/>
          <w:sz w:val="28"/>
          <w:szCs w:val="28"/>
        </w:rPr>
      </w:pPr>
    </w:p>
    <w:p w:rsidR="00411DBB" w:rsidRPr="005A772F" w:rsidRDefault="00314433" w:rsidP="00314433">
      <w:pPr>
        <w:rPr>
          <w:sz w:val="28"/>
          <w:szCs w:val="28"/>
        </w:rPr>
      </w:pPr>
      <w:r w:rsidRPr="007A7E88">
        <w:rPr>
          <w:b/>
          <w:sz w:val="28"/>
          <w:szCs w:val="28"/>
        </w:rPr>
        <w:t xml:space="preserve">SECTION </w:t>
      </w:r>
      <w:r>
        <w:rPr>
          <w:b/>
          <w:sz w:val="28"/>
          <w:szCs w:val="28"/>
        </w:rPr>
        <w:t>B</w:t>
      </w:r>
      <w:r w:rsidRPr="007A7E88">
        <w:rPr>
          <w:b/>
          <w:sz w:val="28"/>
          <w:szCs w:val="28"/>
        </w:rPr>
        <w:t xml:space="preserve"> – ST</w:t>
      </w:r>
      <w:r>
        <w:rPr>
          <w:b/>
          <w:sz w:val="28"/>
          <w:szCs w:val="28"/>
        </w:rPr>
        <w:t>AFF</w:t>
      </w:r>
      <w:r w:rsidR="005A772F">
        <w:rPr>
          <w:b/>
          <w:sz w:val="28"/>
          <w:szCs w:val="28"/>
        </w:rPr>
        <w:tab/>
      </w:r>
      <w:r w:rsidR="005A772F">
        <w:rPr>
          <w:b/>
          <w:sz w:val="28"/>
          <w:szCs w:val="28"/>
        </w:rPr>
        <w:tab/>
      </w:r>
      <w:r w:rsidR="005A772F">
        <w:rPr>
          <w:b/>
          <w:sz w:val="28"/>
          <w:szCs w:val="28"/>
        </w:rPr>
        <w:tab/>
      </w:r>
      <w:r w:rsidR="005A772F">
        <w:rPr>
          <w:b/>
          <w:sz w:val="28"/>
          <w:szCs w:val="28"/>
        </w:rPr>
        <w:tab/>
      </w:r>
      <w:r w:rsidR="005A772F">
        <w:rPr>
          <w:b/>
          <w:sz w:val="28"/>
          <w:szCs w:val="28"/>
        </w:rPr>
        <w:tab/>
      </w:r>
      <w:r w:rsidR="005A772F">
        <w:rPr>
          <w:b/>
          <w:sz w:val="28"/>
          <w:szCs w:val="28"/>
        </w:rPr>
        <w:tab/>
      </w:r>
      <w:r w:rsidR="005A772F">
        <w:rPr>
          <w:b/>
          <w:sz w:val="28"/>
          <w:szCs w:val="28"/>
        </w:rPr>
        <w:tab/>
      </w:r>
      <w:r w:rsidR="005A772F">
        <w:rPr>
          <w:b/>
          <w:sz w:val="28"/>
          <w:szCs w:val="28"/>
        </w:rPr>
        <w:tab/>
        <w:t xml:space="preserve">  </w:t>
      </w:r>
      <w:r w:rsidR="007F0E23">
        <w:rPr>
          <w:b/>
          <w:sz w:val="28"/>
          <w:szCs w:val="28"/>
        </w:rPr>
        <w:t xml:space="preserve">  </w:t>
      </w:r>
      <w:bookmarkStart w:id="0" w:name="_GoBack"/>
      <w:bookmarkEnd w:id="0"/>
      <w:r w:rsidR="005A772F">
        <w:rPr>
          <w:b/>
          <w:sz w:val="28"/>
          <w:szCs w:val="28"/>
        </w:rPr>
        <w:t xml:space="preserve"> </w:t>
      </w:r>
      <w:r w:rsidR="005A772F" w:rsidRPr="005A772F">
        <w:rPr>
          <w:sz w:val="28"/>
          <w:szCs w:val="28"/>
        </w:rPr>
        <w:t xml:space="preserve">Page </w:t>
      </w:r>
      <w:r w:rsidR="007F0E23">
        <w:rPr>
          <w:sz w:val="28"/>
          <w:szCs w:val="28"/>
        </w:rPr>
        <w:t>7</w:t>
      </w:r>
    </w:p>
    <w:p w:rsidR="009E5563" w:rsidRDefault="009E5563" w:rsidP="007508DA">
      <w:pPr>
        <w:pStyle w:val="ListParagraph"/>
        <w:spacing w:after="0"/>
        <w:rPr>
          <w:sz w:val="28"/>
          <w:szCs w:val="28"/>
        </w:rPr>
      </w:pPr>
    </w:p>
    <w:p w:rsidR="00AE45DF" w:rsidRDefault="00AE45DF" w:rsidP="007508DA">
      <w:pPr>
        <w:pStyle w:val="ListParagraph"/>
        <w:spacing w:after="0"/>
        <w:rPr>
          <w:sz w:val="28"/>
          <w:szCs w:val="28"/>
        </w:rPr>
      </w:pPr>
    </w:p>
    <w:p w:rsidR="00AE45DF" w:rsidRDefault="00AE45DF" w:rsidP="007508DA">
      <w:pPr>
        <w:pStyle w:val="ListParagraph"/>
        <w:spacing w:after="0"/>
        <w:rPr>
          <w:sz w:val="28"/>
          <w:szCs w:val="28"/>
        </w:rPr>
      </w:pPr>
    </w:p>
    <w:p w:rsidR="00AE45DF" w:rsidRDefault="00AE45DF" w:rsidP="007508DA">
      <w:pPr>
        <w:pStyle w:val="ListParagraph"/>
        <w:spacing w:after="0"/>
        <w:rPr>
          <w:sz w:val="28"/>
          <w:szCs w:val="28"/>
        </w:rPr>
      </w:pPr>
    </w:p>
    <w:p w:rsidR="00BC6EB7" w:rsidRDefault="00411DBB" w:rsidP="00BC6EB7">
      <w:pPr>
        <w:rPr>
          <w:b/>
          <w:sz w:val="28"/>
          <w:szCs w:val="28"/>
        </w:rPr>
      </w:pPr>
      <w:r>
        <w:rPr>
          <w:rFonts w:ascii="Calibri" w:hAnsi="Calibri" w:cs="Calibri"/>
          <w:noProof/>
          <w:color w:val="003399"/>
          <w:spacing w:val="24"/>
          <w:sz w:val="19"/>
          <w:szCs w:val="19"/>
          <w:lang w:eastAsia="en-GB"/>
        </w:rPr>
        <w:drawing>
          <wp:inline distT="0" distB="0" distL="0" distR="0" wp14:anchorId="0A87C1A7" wp14:editId="151CD8DF">
            <wp:extent cx="5524500" cy="1737360"/>
            <wp:effectExtent l="0" t="0" r="0" b="0"/>
            <wp:docPr id="3" name="Picture 3" desc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737360"/>
                    </a:xfrm>
                    <a:prstGeom prst="rect">
                      <a:avLst/>
                    </a:prstGeom>
                    <a:noFill/>
                    <a:ln>
                      <a:noFill/>
                    </a:ln>
                  </pic:spPr>
                </pic:pic>
              </a:graphicData>
            </a:graphic>
          </wp:inline>
        </w:drawing>
      </w:r>
    </w:p>
    <w:p w:rsidR="00380550" w:rsidRDefault="00411DBB" w:rsidP="00BC6EB7">
      <w:pPr>
        <w:rPr>
          <w:b/>
          <w:sz w:val="28"/>
          <w:szCs w:val="28"/>
        </w:rPr>
      </w:pPr>
      <w:r>
        <w:rPr>
          <w:b/>
          <w:sz w:val="28"/>
          <w:szCs w:val="28"/>
        </w:rPr>
        <w:t xml:space="preserve">Please </w:t>
      </w:r>
      <w:r w:rsidR="00252C25">
        <w:rPr>
          <w:b/>
          <w:sz w:val="28"/>
          <w:szCs w:val="28"/>
        </w:rPr>
        <w:t>see T</w:t>
      </w:r>
      <w:r>
        <w:rPr>
          <w:b/>
          <w:sz w:val="28"/>
          <w:szCs w:val="28"/>
        </w:rPr>
        <w:t>he Henley College EDI website.</w:t>
      </w:r>
    </w:p>
    <w:p w:rsidR="007508DA" w:rsidRPr="00411DBB" w:rsidRDefault="007508DA" w:rsidP="007508DA">
      <w:pPr>
        <w:spacing w:after="0"/>
        <w:rPr>
          <w:b/>
          <w:sz w:val="28"/>
          <w:szCs w:val="28"/>
        </w:rPr>
      </w:pPr>
    </w:p>
    <w:p w:rsidR="00BC6EB7" w:rsidRDefault="007508DA" w:rsidP="00BC6EB7">
      <w:pPr>
        <w:jc w:val="center"/>
        <w:rPr>
          <w:b/>
          <w:sz w:val="28"/>
          <w:szCs w:val="28"/>
        </w:rPr>
      </w:pPr>
      <w:r>
        <w:rPr>
          <w:noProof/>
          <w:lang w:eastAsia="en-GB"/>
        </w:rPr>
        <w:drawing>
          <wp:inline distT="0" distB="0" distL="0" distR="0" wp14:anchorId="377F9A22" wp14:editId="3548EE02">
            <wp:extent cx="1699260" cy="850248"/>
            <wp:effectExtent l="0" t="0" r="0" b="7620"/>
            <wp:docPr id="4" name="Picture 4" descr="\\srv04\homestaff\sdea\Documents\Equality and Diversity 2012 -2013\Investors in Diversity\IID Logo Black on Lil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4\homestaff\sdea\Documents\Equality and Diversity 2012 -2013\Investors in Diversity\IID Logo Black on Lila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614" cy="849925"/>
                    </a:xfrm>
                    <a:prstGeom prst="rect">
                      <a:avLst/>
                    </a:prstGeom>
                    <a:noFill/>
                    <a:ln>
                      <a:noFill/>
                    </a:ln>
                  </pic:spPr>
                </pic:pic>
              </a:graphicData>
            </a:graphic>
          </wp:inline>
        </w:drawing>
      </w:r>
    </w:p>
    <w:p w:rsidR="00026508" w:rsidRDefault="00026508">
      <w:pPr>
        <w:rPr>
          <w:rFonts w:ascii="Arial" w:hAnsi="Arial" w:cs="Arial"/>
          <w:b/>
          <w:sz w:val="24"/>
          <w:szCs w:val="24"/>
        </w:rPr>
      </w:pPr>
    </w:p>
    <w:p w:rsidR="00747F18" w:rsidRPr="00CA31EE" w:rsidRDefault="00747F18">
      <w:pPr>
        <w:rPr>
          <w:rFonts w:ascii="Arial" w:hAnsi="Arial" w:cs="Arial"/>
          <w:b/>
          <w:sz w:val="24"/>
          <w:szCs w:val="24"/>
        </w:rPr>
      </w:pPr>
      <w:r w:rsidRPr="00CA31EE">
        <w:rPr>
          <w:rFonts w:ascii="Arial" w:hAnsi="Arial" w:cs="Arial"/>
          <w:b/>
          <w:sz w:val="24"/>
          <w:szCs w:val="24"/>
        </w:rPr>
        <w:lastRenderedPageBreak/>
        <w:t>INTRODUCTION</w:t>
      </w:r>
    </w:p>
    <w:p w:rsidR="00ED1B2A" w:rsidRDefault="00ED1B2A" w:rsidP="00BC6EB7">
      <w:pPr>
        <w:jc w:val="both"/>
      </w:pPr>
      <w:r>
        <w:t>The Henley College has made significant advancements in e</w:t>
      </w:r>
      <w:r w:rsidR="00BC6EB7">
        <w:t>nsuring that</w:t>
      </w:r>
      <w:r>
        <w:t xml:space="preserve"> Equality, Diversity and Inclusion </w:t>
      </w:r>
      <w:r w:rsidR="00BC6EB7">
        <w:t xml:space="preserve">are fully embedded in all aspects of college life </w:t>
      </w:r>
      <w:r>
        <w:t>since the publication of the last EDI Report in February 2012.</w:t>
      </w:r>
    </w:p>
    <w:p w:rsidR="00ED1B2A" w:rsidRPr="00872470" w:rsidRDefault="00ED1B2A" w:rsidP="00BC6EB7">
      <w:pPr>
        <w:jc w:val="both"/>
      </w:pPr>
      <w:r>
        <w:t xml:space="preserve">On 24 February 2012 a successful Love Music Hate Racism event organised by the Henley College Student Union was held.  </w:t>
      </w:r>
      <w:r w:rsidR="00872470">
        <w:t xml:space="preserve">A mural </w:t>
      </w:r>
      <w:r w:rsidRPr="00872470">
        <w:rPr>
          <w:rFonts w:cstheme="minorHAnsi"/>
        </w:rPr>
        <w:t xml:space="preserve">made up of anti-racism, unite against fascism, anti-BNP and Love Music, Hate Racism logos, posters and slogans </w:t>
      </w:r>
      <w:r w:rsidR="00872470">
        <w:rPr>
          <w:rFonts w:cstheme="minorHAnsi"/>
        </w:rPr>
        <w:t xml:space="preserve">was made by students prior to the event and </w:t>
      </w:r>
      <w:r w:rsidR="009E13A7">
        <w:rPr>
          <w:rFonts w:cstheme="minorHAnsi"/>
        </w:rPr>
        <w:t xml:space="preserve">is </w:t>
      </w:r>
      <w:r w:rsidR="00872470">
        <w:rPr>
          <w:rFonts w:cstheme="minorHAnsi"/>
        </w:rPr>
        <w:t>now h</w:t>
      </w:r>
      <w:r w:rsidR="009E13A7">
        <w:rPr>
          <w:rFonts w:cstheme="minorHAnsi"/>
        </w:rPr>
        <w:t>eld by the Student Union executive in readiness for the next event.</w:t>
      </w:r>
    </w:p>
    <w:p w:rsidR="00ED1B2A" w:rsidRDefault="00872470">
      <w:r>
        <w:rPr>
          <w:noProof/>
          <w:lang w:eastAsia="en-GB"/>
        </w:rPr>
        <w:drawing>
          <wp:anchor distT="0" distB="0" distL="114300" distR="114300" simplePos="0" relativeHeight="251658240" behindDoc="1" locked="0" layoutInCell="1" allowOverlap="1" wp14:anchorId="232C8BFD" wp14:editId="7F033063">
            <wp:simplePos x="0" y="0"/>
            <wp:positionH relativeFrom="column">
              <wp:posOffset>0</wp:posOffset>
            </wp:positionH>
            <wp:positionV relativeFrom="paragraph">
              <wp:posOffset>3175</wp:posOffset>
            </wp:positionV>
            <wp:extent cx="2773680" cy="2080260"/>
            <wp:effectExtent l="0" t="0" r="7620" b="0"/>
            <wp:wrapTight wrapText="bothSides">
              <wp:wrapPolygon edited="0">
                <wp:start x="0" y="0"/>
                <wp:lineTo x="0" y="21363"/>
                <wp:lineTo x="21511" y="21363"/>
                <wp:lineTo x="21511" y="0"/>
                <wp:lineTo x="0" y="0"/>
              </wp:wrapPolygon>
            </wp:wrapTight>
            <wp:docPr id="1" name="Picture 1" descr="N:\Documents\Equality and Diversity 2012 -2013\Love Music Hate Racism\Photos\429561_10151337596220531_690220530_23066194_9103701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Equality and Diversity 2012 -2013\Love Music Hate Racism\Photos\429561_10151337596220531_690220530_23066194_910370140_n.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773680"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EB7" w:rsidRDefault="00BC6EB7">
      <w:r>
        <w:t>Love Music Hate Racism Mural</w:t>
      </w:r>
    </w:p>
    <w:p w:rsidR="00BC6EB7" w:rsidRDefault="00BC6EB7"/>
    <w:p w:rsidR="00BC6EB7" w:rsidRDefault="00BC6EB7"/>
    <w:p w:rsidR="00BC6EB7" w:rsidRDefault="00BC6EB7"/>
    <w:p w:rsidR="00BC6EB7" w:rsidRDefault="00BC6EB7"/>
    <w:p w:rsidR="00BC6EB7" w:rsidRDefault="00BC6EB7"/>
    <w:p w:rsidR="00C835AF" w:rsidRDefault="00C835AF" w:rsidP="009E0F19">
      <w:pPr>
        <w:jc w:val="both"/>
      </w:pPr>
      <w:r>
        <w:t xml:space="preserve">The Students’ Union is planning to hold another music or entertainment event this year to </w:t>
      </w:r>
      <w:r w:rsidR="00C65701">
        <w:t xml:space="preserve">further </w:t>
      </w:r>
      <w:r>
        <w:t>promote inclusion.</w:t>
      </w:r>
    </w:p>
    <w:p w:rsidR="00BC6EB7" w:rsidRDefault="00872470" w:rsidP="009E0F19">
      <w:pPr>
        <w:jc w:val="both"/>
        <w:rPr>
          <w:rFonts w:cstheme="minorHAnsi"/>
        </w:rPr>
      </w:pPr>
      <w:r>
        <w:t xml:space="preserve">In </w:t>
      </w:r>
      <w:r>
        <w:rPr>
          <w:rFonts w:cstheme="minorHAnsi"/>
        </w:rPr>
        <w:t xml:space="preserve">May 2012 </w:t>
      </w:r>
      <w:r w:rsidRPr="00872470">
        <w:rPr>
          <w:rFonts w:cstheme="minorHAnsi"/>
        </w:rPr>
        <w:t>The College</w:t>
      </w:r>
      <w:r>
        <w:rPr>
          <w:rFonts w:cstheme="minorHAnsi"/>
        </w:rPr>
        <w:t xml:space="preserve"> was awarded </w:t>
      </w:r>
      <w:r w:rsidRPr="00872470">
        <w:rPr>
          <w:rFonts w:cstheme="minorHAnsi"/>
        </w:rPr>
        <w:t xml:space="preserve">the Investors in Diversity standard at Stage Two </w:t>
      </w:r>
      <w:r>
        <w:rPr>
          <w:rFonts w:cstheme="minorHAnsi"/>
        </w:rPr>
        <w:t xml:space="preserve">following the </w:t>
      </w:r>
      <w:r w:rsidRPr="00872470">
        <w:rPr>
          <w:rFonts w:cstheme="minorHAnsi"/>
        </w:rPr>
        <w:t>Initial Review.</w:t>
      </w:r>
      <w:r>
        <w:rPr>
          <w:rFonts w:cstheme="minorHAnsi"/>
        </w:rPr>
        <w:t xml:space="preserve">  Th</w:t>
      </w:r>
      <w:r w:rsidR="0076452A">
        <w:rPr>
          <w:rFonts w:cstheme="minorHAnsi"/>
        </w:rPr>
        <w:t>e</w:t>
      </w:r>
      <w:r>
        <w:rPr>
          <w:rFonts w:cstheme="minorHAnsi"/>
        </w:rPr>
        <w:t xml:space="preserve"> </w:t>
      </w:r>
      <w:r w:rsidR="0076452A">
        <w:rPr>
          <w:rFonts w:cstheme="minorHAnsi"/>
        </w:rPr>
        <w:t>C</w:t>
      </w:r>
      <w:r>
        <w:rPr>
          <w:rFonts w:cstheme="minorHAnsi"/>
        </w:rPr>
        <w:t xml:space="preserve">ollege can now display the Investors in Diversity logo </w:t>
      </w:r>
      <w:r w:rsidR="00BC6EB7">
        <w:rPr>
          <w:rFonts w:cstheme="minorHAnsi"/>
        </w:rPr>
        <w:t>(please see Title Page) which will be set on a purple background when used in conjunction with Equality, Div</w:t>
      </w:r>
      <w:r w:rsidR="00C65701">
        <w:rPr>
          <w:rFonts w:cstheme="minorHAnsi"/>
        </w:rPr>
        <w:t>ersity and Inclusion Group (EDI</w:t>
      </w:r>
      <w:r w:rsidR="00BC6EB7">
        <w:rPr>
          <w:rFonts w:cstheme="minorHAnsi"/>
        </w:rPr>
        <w:t>) events.</w:t>
      </w:r>
    </w:p>
    <w:p w:rsidR="00C835AF" w:rsidRPr="00C835AF" w:rsidRDefault="001074CC" w:rsidP="009E0F19">
      <w:pPr>
        <w:jc w:val="both"/>
        <w:rPr>
          <w:rFonts w:cstheme="minorHAnsi"/>
        </w:rPr>
      </w:pPr>
      <w:r>
        <w:rPr>
          <w:rFonts w:cstheme="minorHAnsi"/>
        </w:rPr>
        <w:t xml:space="preserve">The College is </w:t>
      </w:r>
      <w:r w:rsidR="00C835AF">
        <w:rPr>
          <w:rFonts w:cstheme="minorHAnsi"/>
        </w:rPr>
        <w:t xml:space="preserve">marking </w:t>
      </w:r>
      <w:r>
        <w:rPr>
          <w:rFonts w:cstheme="minorHAnsi"/>
        </w:rPr>
        <w:t>Black History Month (October 2012)</w:t>
      </w:r>
      <w:r w:rsidR="0017451E">
        <w:rPr>
          <w:rFonts w:cstheme="minorHAnsi"/>
        </w:rPr>
        <w:t>.</w:t>
      </w:r>
      <w:r>
        <w:rPr>
          <w:rFonts w:cstheme="minorHAnsi"/>
        </w:rPr>
        <w:t xml:space="preserve"> </w:t>
      </w:r>
      <w:r w:rsidR="0017451E">
        <w:rPr>
          <w:rFonts w:cstheme="minorHAnsi"/>
        </w:rPr>
        <w:t>There is</w:t>
      </w:r>
      <w:r>
        <w:rPr>
          <w:rFonts w:cstheme="minorHAnsi"/>
        </w:rPr>
        <w:t xml:space="preserve"> a display</w:t>
      </w:r>
      <w:r w:rsidR="00C835AF" w:rsidRPr="00C835AF">
        <w:rPr>
          <w:rFonts w:cstheme="minorHAnsi"/>
        </w:rPr>
        <w:t xml:space="preserve"> in the large </w:t>
      </w:r>
      <w:r w:rsidR="0017451E">
        <w:rPr>
          <w:rFonts w:cstheme="minorHAnsi"/>
        </w:rPr>
        <w:t xml:space="preserve">glass </w:t>
      </w:r>
      <w:r w:rsidR="00C835AF" w:rsidRPr="00C835AF">
        <w:rPr>
          <w:rFonts w:cstheme="minorHAnsi"/>
        </w:rPr>
        <w:t xml:space="preserve">cabinet at the end of the long corridor in </w:t>
      </w:r>
      <w:r w:rsidR="00C835AF" w:rsidRPr="00C65701">
        <w:rPr>
          <w:rFonts w:cstheme="minorHAnsi"/>
          <w:bCs/>
        </w:rPr>
        <w:t>D1</w:t>
      </w:r>
      <w:r w:rsidR="00C835AF">
        <w:rPr>
          <w:rFonts w:cstheme="minorHAnsi"/>
          <w:b/>
          <w:bCs/>
        </w:rPr>
        <w:t xml:space="preserve">.  </w:t>
      </w:r>
      <w:r w:rsidR="00C835AF" w:rsidRPr="00C835AF">
        <w:rPr>
          <w:rFonts w:cstheme="minorHAnsi"/>
        </w:rPr>
        <w:t xml:space="preserve">The achievements of black British sportsmen and sportswomen, including many Olympians and </w:t>
      </w:r>
      <w:proofErr w:type="spellStart"/>
      <w:r w:rsidR="00C835AF" w:rsidRPr="00C835AF">
        <w:rPr>
          <w:rFonts w:cstheme="minorHAnsi"/>
        </w:rPr>
        <w:t>Paralympians</w:t>
      </w:r>
      <w:proofErr w:type="spellEnd"/>
      <w:r w:rsidR="00C835AF" w:rsidRPr="00C835AF">
        <w:rPr>
          <w:rFonts w:cstheme="minorHAnsi"/>
        </w:rPr>
        <w:t>, are celebrated.</w:t>
      </w:r>
    </w:p>
    <w:p w:rsidR="00C835AF" w:rsidRDefault="00BC6EB7" w:rsidP="009E0F19">
      <w:pPr>
        <w:jc w:val="both"/>
        <w:rPr>
          <w:rFonts w:cstheme="minorHAnsi"/>
        </w:rPr>
      </w:pPr>
      <w:r>
        <w:rPr>
          <w:rFonts w:cstheme="minorHAnsi"/>
        </w:rPr>
        <w:t xml:space="preserve">The EDI Group has </w:t>
      </w:r>
      <w:r w:rsidR="00C65701">
        <w:rPr>
          <w:rFonts w:cstheme="minorHAnsi"/>
        </w:rPr>
        <w:t xml:space="preserve">agreed to promote </w:t>
      </w:r>
      <w:r>
        <w:rPr>
          <w:rFonts w:cstheme="minorHAnsi"/>
        </w:rPr>
        <w:t xml:space="preserve">an </w:t>
      </w:r>
      <w:r w:rsidR="009E0F19">
        <w:rPr>
          <w:rFonts w:cstheme="minorHAnsi"/>
        </w:rPr>
        <w:t>e</w:t>
      </w:r>
      <w:r>
        <w:rPr>
          <w:rFonts w:cstheme="minorHAnsi"/>
        </w:rPr>
        <w:t>quality</w:t>
      </w:r>
      <w:r w:rsidR="009E0F19">
        <w:rPr>
          <w:rFonts w:cstheme="minorHAnsi"/>
        </w:rPr>
        <w:t>, d</w:t>
      </w:r>
      <w:r>
        <w:rPr>
          <w:rFonts w:cstheme="minorHAnsi"/>
        </w:rPr>
        <w:t xml:space="preserve">iversity </w:t>
      </w:r>
      <w:r w:rsidR="009E0F19">
        <w:rPr>
          <w:rFonts w:cstheme="minorHAnsi"/>
        </w:rPr>
        <w:t xml:space="preserve">and inclusion </w:t>
      </w:r>
      <w:r>
        <w:rPr>
          <w:rFonts w:cstheme="minorHAnsi"/>
        </w:rPr>
        <w:t>event</w:t>
      </w:r>
      <w:r w:rsidR="00C65701">
        <w:rPr>
          <w:rFonts w:cstheme="minorHAnsi"/>
        </w:rPr>
        <w:t xml:space="preserve"> which </w:t>
      </w:r>
      <w:r>
        <w:rPr>
          <w:rFonts w:cstheme="minorHAnsi"/>
        </w:rPr>
        <w:t>will be held for three consecutive days in the Spring Term.  This event will include a keynote lecture, competitions, sports, stories and photogra</w:t>
      </w:r>
      <w:r w:rsidR="001300C5">
        <w:rPr>
          <w:rFonts w:cstheme="minorHAnsi"/>
        </w:rPr>
        <w:t>phs.  Th</w:t>
      </w:r>
      <w:r w:rsidR="001074CC">
        <w:rPr>
          <w:rFonts w:cstheme="minorHAnsi"/>
        </w:rPr>
        <w:t>ere will also be EDI displays and themed meals in the canteen throughout the year.</w:t>
      </w:r>
    </w:p>
    <w:p w:rsidR="00C65701" w:rsidRPr="00C65701" w:rsidRDefault="00C65701">
      <w:pPr>
        <w:rPr>
          <w:b/>
        </w:rPr>
      </w:pPr>
      <w:r w:rsidRPr="00C65701">
        <w:rPr>
          <w:b/>
        </w:rPr>
        <w:t>Curriculum</w:t>
      </w:r>
    </w:p>
    <w:p w:rsidR="00C05089" w:rsidRDefault="00C65701">
      <w:r>
        <w:t>The College demonstrates our commitment to equality, diversity and inclusion through a curriculum offer that has been extended to meet the needs of young people and adults, including learners from those groups traditionally under-represented in further education.</w:t>
      </w:r>
    </w:p>
    <w:p w:rsidR="00C65701" w:rsidRDefault="00C65701"/>
    <w:p w:rsidR="00C65701" w:rsidRDefault="00C65701"/>
    <w:p w:rsidR="00C03C87" w:rsidRDefault="00C65701" w:rsidP="00C03C87">
      <w:pPr>
        <w:spacing w:after="0" w:line="240" w:lineRule="auto"/>
        <w:jc w:val="both"/>
        <w:rPr>
          <w:b/>
        </w:rPr>
      </w:pPr>
      <w:r w:rsidRPr="00C65701">
        <w:rPr>
          <w:b/>
        </w:rPr>
        <w:lastRenderedPageBreak/>
        <w:t>ACCESS</w:t>
      </w:r>
    </w:p>
    <w:p w:rsidR="00BE5407" w:rsidRDefault="00C65701" w:rsidP="00C03C87">
      <w:pPr>
        <w:spacing w:after="0" w:line="240" w:lineRule="auto"/>
        <w:jc w:val="both"/>
        <w:rPr>
          <w:rFonts w:cstheme="minorHAnsi"/>
        </w:rPr>
      </w:pPr>
      <w:r w:rsidRPr="00C65701">
        <w:rPr>
          <w:b/>
        </w:rPr>
        <w:br/>
      </w:r>
      <w:r w:rsidR="00BE5407" w:rsidRPr="00BE5407">
        <w:rPr>
          <w:rFonts w:cstheme="minorHAnsi"/>
        </w:rPr>
        <w:t xml:space="preserve">The College affirms that individuals with disabilities are entitled to the same equal rights, responsibilities and opportunities as individuals without disabilities and will fulfil its requirements under the Disability Discrimination Act. The College is committed to making any reasonable adjustments that will promote equal access and opportunities for students, staff and members of the public with disabilities/or learning disabilities using college facilities. </w:t>
      </w:r>
    </w:p>
    <w:p w:rsidR="00C03C87" w:rsidRDefault="00C03C87" w:rsidP="00C03C87">
      <w:pPr>
        <w:spacing w:after="0" w:line="240" w:lineRule="auto"/>
        <w:jc w:val="both"/>
        <w:rPr>
          <w:rFonts w:cstheme="minorHAnsi"/>
        </w:rPr>
      </w:pPr>
    </w:p>
    <w:p w:rsidR="00BE5407" w:rsidRDefault="00C03C87" w:rsidP="00C03C87">
      <w:pPr>
        <w:spacing w:after="0" w:line="240" w:lineRule="auto"/>
        <w:jc w:val="both"/>
        <w:rPr>
          <w:rFonts w:cstheme="minorHAnsi"/>
          <w:bCs/>
        </w:rPr>
      </w:pPr>
      <w:r>
        <w:rPr>
          <w:rFonts w:cstheme="minorHAnsi"/>
        </w:rPr>
        <w:t>There</w:t>
      </w:r>
      <w:r w:rsidR="00BE5407" w:rsidRPr="00BE5407">
        <w:rPr>
          <w:rFonts w:cstheme="minorHAnsi"/>
          <w:bCs/>
        </w:rPr>
        <w:t xml:space="preserve"> will be no discrimination against staff on grounds of disability in access to employment,</w:t>
      </w:r>
      <w:r>
        <w:rPr>
          <w:rFonts w:cstheme="minorHAnsi"/>
          <w:bCs/>
        </w:rPr>
        <w:t xml:space="preserve"> </w:t>
      </w:r>
      <w:r w:rsidR="00BE5407" w:rsidRPr="00BE5407">
        <w:rPr>
          <w:rFonts w:cstheme="minorHAnsi"/>
          <w:bCs/>
        </w:rPr>
        <w:t>training, working conditions, terms of employment, treatment at work, promotion or dismissal.  The College undertakes to fulfil its duty to make reasonable adjustments to enable staff to do their work, and not to treat staff with a disability less favourably than those without.</w:t>
      </w:r>
    </w:p>
    <w:p w:rsidR="00C03C87" w:rsidRDefault="00C03C87" w:rsidP="00C03C87">
      <w:pPr>
        <w:pStyle w:val="i10"/>
        <w:tabs>
          <w:tab w:val="clear" w:pos="720"/>
          <w:tab w:val="clear" w:pos="2160"/>
          <w:tab w:val="clear" w:pos="4140"/>
          <w:tab w:val="clear" w:pos="6480"/>
          <w:tab w:val="clear" w:pos="7560"/>
          <w:tab w:val="clear" w:pos="9360"/>
          <w:tab w:val="clear" w:pos="10440"/>
          <w:tab w:val="clear" w:pos="11160"/>
        </w:tabs>
        <w:spacing w:line="240" w:lineRule="auto"/>
        <w:contextualSpacing/>
        <w:jc w:val="left"/>
        <w:rPr>
          <w:rFonts w:asciiTheme="minorHAnsi" w:hAnsiTheme="minorHAnsi" w:cstheme="minorHAnsi"/>
          <w:sz w:val="22"/>
          <w:szCs w:val="22"/>
        </w:rPr>
      </w:pPr>
    </w:p>
    <w:p w:rsidR="00BE5407" w:rsidRP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 xml:space="preserve">Admission Arrangements for students are outlined in the College policy on student admission, guidance and induction.  For full-time applicants, when the application form indicates a need for support this is established before interview and appropriate action is taken. On entry or on course any needs are identified to the Personal Tutor and support is implemented in line with the Policy for students with learning </w:t>
      </w:r>
      <w:r w:rsidRPr="00BE5407">
        <w:rPr>
          <w:rFonts w:asciiTheme="minorHAnsi" w:hAnsiTheme="minorHAnsi" w:cstheme="minorHAnsi"/>
          <w:color w:val="000000"/>
          <w:sz w:val="22"/>
          <w:szCs w:val="22"/>
        </w:rPr>
        <w:t>difficulties and/or disabilities.</w:t>
      </w:r>
      <w:r w:rsidRPr="00BE5407">
        <w:rPr>
          <w:rFonts w:asciiTheme="minorHAnsi" w:hAnsiTheme="minorHAnsi" w:cstheme="minorHAnsi"/>
          <w:sz w:val="22"/>
          <w:szCs w:val="22"/>
        </w:rPr>
        <w:t xml:space="preserve">  </w:t>
      </w:r>
    </w:p>
    <w:p w:rsidR="00BE5407" w:rsidRP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contextualSpacing/>
        <w:rPr>
          <w:rFonts w:asciiTheme="minorHAnsi" w:hAnsiTheme="minorHAnsi" w:cstheme="minorHAnsi"/>
          <w:sz w:val="22"/>
          <w:szCs w:val="22"/>
        </w:rPr>
      </w:pPr>
    </w:p>
    <w:p w:rsid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The College has in place an Upgrade Study Support Manager, who provides information and guidance, should a need for support be established appropriate action is taken and the Upgrade Study Support Manager is present at an interview to provide specialist advice.</w:t>
      </w:r>
    </w:p>
    <w:p w:rsidR="00BE5407" w:rsidRP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p>
    <w:p w:rsidR="00BE5407" w:rsidRP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The College has appointed specialist teachers and tutors to support students with learning difficulties and/or disabilities.</w:t>
      </w:r>
    </w:p>
    <w:p w:rsidR="00BE5407" w:rsidRP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ind w:left="720"/>
        <w:contextualSpacing/>
        <w:rPr>
          <w:rFonts w:asciiTheme="minorHAnsi" w:hAnsiTheme="minorHAnsi" w:cstheme="minorHAnsi"/>
          <w:sz w:val="22"/>
          <w:szCs w:val="22"/>
        </w:rPr>
      </w:pPr>
    </w:p>
    <w:p w:rsidR="00BE5407" w:rsidRP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Counselling and welfare services are provided at the College. Information concerning this function is published in the College Brochures, Handbooks and Student Newsletters.</w:t>
      </w:r>
    </w:p>
    <w:p w:rsidR="00BE5407" w:rsidRP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contextualSpacing/>
        <w:rPr>
          <w:rFonts w:asciiTheme="minorHAnsi" w:hAnsiTheme="minorHAnsi" w:cstheme="minorHAnsi"/>
          <w:sz w:val="22"/>
          <w:szCs w:val="22"/>
        </w:rPr>
      </w:pPr>
    </w:p>
    <w:p w:rsidR="00BE5407" w:rsidRP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 xml:space="preserve">Information on College facilities is contained in the full and part-time brochures and full and part-time student handbooks.  Particular needs are addressed and implemented. </w:t>
      </w:r>
    </w:p>
    <w:p w:rsidR="00BE5407" w:rsidRP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contextualSpacing/>
        <w:rPr>
          <w:rFonts w:asciiTheme="minorHAnsi" w:hAnsiTheme="minorHAnsi" w:cstheme="minorHAnsi"/>
          <w:sz w:val="22"/>
          <w:szCs w:val="22"/>
        </w:rPr>
      </w:pPr>
    </w:p>
    <w:p w:rsid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The College endeavours to provide the technology and equipment appropriate to student and staff needs. The College holds a register of equipment for additional needs.</w:t>
      </w:r>
    </w:p>
    <w:p w:rsid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p>
    <w:p w:rsidR="00BE5407" w:rsidRPr="00C03C8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C03C87">
        <w:rPr>
          <w:rFonts w:asciiTheme="minorHAnsi" w:hAnsiTheme="minorHAnsi" w:cstheme="minorHAnsi"/>
          <w:sz w:val="22"/>
          <w:szCs w:val="22"/>
        </w:rPr>
        <w:t>The College consistently reviews accessibility and ensures compliance with the Disability Discrimination Act 2004 and Equality Act 2010 in all new building projects and developments.</w:t>
      </w:r>
    </w:p>
    <w:p w:rsidR="00BE5407" w:rsidRPr="00BE5407" w:rsidRDefault="00BE5407" w:rsidP="00C03C87">
      <w:pPr>
        <w:pStyle w:val="i10"/>
        <w:tabs>
          <w:tab w:val="clear" w:pos="720"/>
          <w:tab w:val="clear" w:pos="2160"/>
          <w:tab w:val="clear" w:pos="4140"/>
          <w:tab w:val="clear" w:pos="6480"/>
          <w:tab w:val="clear" w:pos="7560"/>
          <w:tab w:val="clear" w:pos="9360"/>
          <w:tab w:val="clear" w:pos="10440"/>
          <w:tab w:val="clear" w:pos="11160"/>
        </w:tabs>
        <w:spacing w:line="240" w:lineRule="auto"/>
        <w:contextualSpacing/>
        <w:rPr>
          <w:rFonts w:asciiTheme="minorHAnsi" w:hAnsiTheme="minorHAnsi" w:cstheme="minorHAnsi"/>
          <w:sz w:val="22"/>
          <w:szCs w:val="22"/>
        </w:rPr>
      </w:pPr>
    </w:p>
    <w:p w:rsidR="00BE5407" w:rsidRPr="00BE5407" w:rsidRDefault="00BE5407" w:rsidP="00C03C87">
      <w:pPr>
        <w:pStyle w:val="i10"/>
        <w:numPr>
          <w:ilvl w:val="0"/>
          <w:numId w:val="12"/>
        </w:numPr>
        <w:tabs>
          <w:tab w:val="clear" w:pos="720"/>
          <w:tab w:val="clear" w:pos="2160"/>
          <w:tab w:val="clear" w:pos="4140"/>
          <w:tab w:val="clear" w:pos="6480"/>
          <w:tab w:val="clear" w:pos="7560"/>
          <w:tab w:val="clear" w:pos="9360"/>
          <w:tab w:val="clear" w:pos="10440"/>
          <w:tab w:val="clear" w:pos="11160"/>
        </w:tabs>
        <w:spacing w:line="240" w:lineRule="auto"/>
        <w:ind w:left="360"/>
        <w:contextualSpacing/>
        <w:rPr>
          <w:rFonts w:asciiTheme="minorHAnsi" w:hAnsiTheme="minorHAnsi" w:cstheme="minorHAnsi"/>
          <w:sz w:val="22"/>
          <w:szCs w:val="22"/>
        </w:rPr>
      </w:pPr>
      <w:r w:rsidRPr="00BE5407">
        <w:rPr>
          <w:rFonts w:asciiTheme="minorHAnsi" w:hAnsiTheme="minorHAnsi" w:cstheme="minorHAnsi"/>
          <w:sz w:val="22"/>
          <w:szCs w:val="22"/>
        </w:rPr>
        <w:t>Physical access audits have informed the basis of funding which has been provided to improve access in and around the 12 College buildings.</w:t>
      </w:r>
    </w:p>
    <w:p w:rsidR="00C65701" w:rsidRPr="00BE5407" w:rsidRDefault="00C65701" w:rsidP="00BE5407">
      <w:pPr>
        <w:spacing w:line="240" w:lineRule="auto"/>
        <w:contextualSpacing/>
        <w:rPr>
          <w:rFonts w:cstheme="minorHAnsi"/>
        </w:rPr>
      </w:pPr>
    </w:p>
    <w:p w:rsidR="00C65701" w:rsidRDefault="00C65701"/>
    <w:p w:rsidR="00BE5407" w:rsidRDefault="00BE5407"/>
    <w:p w:rsidR="00BE5407" w:rsidRDefault="00BE5407"/>
    <w:p w:rsidR="00BE5407" w:rsidRDefault="00BE5407"/>
    <w:p w:rsidR="00BE5407" w:rsidRDefault="00BE5407"/>
    <w:p w:rsidR="00BE5407" w:rsidRPr="00C65701" w:rsidRDefault="00BE5407"/>
    <w:p w:rsidR="00494024" w:rsidRPr="00494024" w:rsidRDefault="00494024" w:rsidP="00494024">
      <w:pPr>
        <w:rPr>
          <w:rFonts w:ascii="Arial" w:hAnsi="Arial" w:cs="Arial"/>
          <w:b/>
          <w:sz w:val="24"/>
          <w:szCs w:val="24"/>
        </w:rPr>
      </w:pPr>
      <w:r>
        <w:rPr>
          <w:rFonts w:ascii="Arial" w:hAnsi="Arial" w:cs="Arial"/>
          <w:b/>
          <w:sz w:val="24"/>
          <w:szCs w:val="24"/>
        </w:rPr>
        <w:lastRenderedPageBreak/>
        <w:t xml:space="preserve">SECTION </w:t>
      </w:r>
      <w:proofErr w:type="gramStart"/>
      <w:r>
        <w:rPr>
          <w:rFonts w:ascii="Arial" w:hAnsi="Arial" w:cs="Arial"/>
          <w:b/>
          <w:sz w:val="24"/>
          <w:szCs w:val="24"/>
        </w:rPr>
        <w:t>A</w:t>
      </w:r>
      <w:proofErr w:type="gramEnd"/>
      <w:r>
        <w:rPr>
          <w:rFonts w:ascii="Arial" w:hAnsi="Arial" w:cs="Arial"/>
          <w:b/>
          <w:sz w:val="24"/>
          <w:szCs w:val="24"/>
        </w:rPr>
        <w:t xml:space="preserve"> - STUDENTS</w:t>
      </w:r>
    </w:p>
    <w:p w:rsidR="00F26E96" w:rsidRPr="00CA31EE" w:rsidRDefault="00F26E96" w:rsidP="00CA31EE">
      <w:pPr>
        <w:pStyle w:val="ListParagraph"/>
        <w:numPr>
          <w:ilvl w:val="0"/>
          <w:numId w:val="9"/>
        </w:numPr>
        <w:rPr>
          <w:rFonts w:ascii="Arial" w:hAnsi="Arial" w:cs="Arial"/>
          <w:b/>
          <w:sz w:val="24"/>
          <w:szCs w:val="24"/>
        </w:rPr>
      </w:pPr>
      <w:r w:rsidRPr="00CA31EE">
        <w:rPr>
          <w:rFonts w:ascii="Arial" w:hAnsi="Arial" w:cs="Arial"/>
          <w:b/>
          <w:sz w:val="24"/>
          <w:szCs w:val="24"/>
        </w:rPr>
        <w:t>STUDENT ETHNICITY AND GENDER DATA</w:t>
      </w:r>
    </w:p>
    <w:p w:rsidR="00C03C87" w:rsidRDefault="009E0F19" w:rsidP="00314433">
      <w:pPr>
        <w:jc w:val="both"/>
      </w:pPr>
      <w:r w:rsidRPr="00747F18">
        <w:t>Following</w:t>
      </w:r>
      <w:r>
        <w:t xml:space="preserve"> feedback from </w:t>
      </w:r>
      <w:r w:rsidRPr="00747F18">
        <w:t>the</w:t>
      </w:r>
      <w:r>
        <w:rPr>
          <w:b/>
        </w:rPr>
        <w:t xml:space="preserve"> </w:t>
      </w:r>
      <w:r w:rsidRPr="00747F18">
        <w:t>publication of the</w:t>
      </w:r>
      <w:r>
        <w:rPr>
          <w:b/>
        </w:rPr>
        <w:t xml:space="preserve"> </w:t>
      </w:r>
      <w:r>
        <w:t xml:space="preserve">Equality, Diversity and Inclusion Report in February 2012 this report </w:t>
      </w:r>
      <w:r w:rsidR="007B16E7">
        <w:t>focuses on</w:t>
      </w:r>
      <w:r>
        <w:t xml:space="preserve"> any trends in the performance of males and females within the different ethnic groups</w:t>
      </w:r>
      <w:r w:rsidR="007B16E7">
        <w:t xml:space="preserve">.  </w:t>
      </w:r>
    </w:p>
    <w:p w:rsidR="003325D7" w:rsidRDefault="0096249E" w:rsidP="00314433">
      <w:pPr>
        <w:jc w:val="both"/>
      </w:pPr>
      <w:r>
        <w:t xml:space="preserve">There are 99 individual statistics noted for the three years: 51 for females </w:t>
      </w:r>
      <w:r w:rsidR="009322C0">
        <w:t xml:space="preserve">and 48 for males.  Females </w:t>
      </w:r>
      <w:r w:rsidR="003325D7">
        <w:t>have out</w:t>
      </w:r>
      <w:r w:rsidR="009322C0">
        <w:t xml:space="preserve">performed against the </w:t>
      </w:r>
      <w:r w:rsidR="00BC155A">
        <w:t xml:space="preserve">national </w:t>
      </w:r>
      <w:r w:rsidR="009322C0">
        <w:t xml:space="preserve">benchmark in </w:t>
      </w:r>
      <w:r w:rsidR="003325D7">
        <w:t xml:space="preserve">28 instances and males </w:t>
      </w:r>
      <w:r w:rsidR="00BC155A">
        <w:t xml:space="preserve">equalled or outperformed the national benchmark </w:t>
      </w:r>
      <w:r w:rsidR="003325D7">
        <w:t xml:space="preserve">in 24 </w:t>
      </w:r>
      <w:r w:rsidR="009322C0">
        <w:t xml:space="preserve">cases.   </w:t>
      </w:r>
      <w:r w:rsidR="003325D7">
        <w:t xml:space="preserve">If we break this data down </w:t>
      </w:r>
      <w:r w:rsidR="00BC155A">
        <w:t>by</w:t>
      </w:r>
      <w:r w:rsidR="003325D7">
        <w:t xml:space="preserve"> year:</w:t>
      </w:r>
    </w:p>
    <w:p w:rsidR="009322C0" w:rsidRDefault="003325D7" w:rsidP="00314433">
      <w:pPr>
        <w:pStyle w:val="ListParagraph"/>
        <w:numPr>
          <w:ilvl w:val="0"/>
          <w:numId w:val="7"/>
        </w:numPr>
        <w:jc w:val="both"/>
      </w:pPr>
      <w:r>
        <w:t>2008 -2009 15 out of 33 performed above the national benchmark. (8 f</w:t>
      </w:r>
      <w:r w:rsidR="009322C0">
        <w:t xml:space="preserve">emale </w:t>
      </w:r>
      <w:r>
        <w:t>and 7 male)</w:t>
      </w:r>
    </w:p>
    <w:p w:rsidR="003325D7" w:rsidRDefault="003325D7" w:rsidP="00314433">
      <w:pPr>
        <w:pStyle w:val="ListParagraph"/>
        <w:numPr>
          <w:ilvl w:val="0"/>
          <w:numId w:val="7"/>
        </w:numPr>
        <w:jc w:val="both"/>
      </w:pPr>
      <w:r>
        <w:t>2009 -2010 19 out of 33 performed above the national benchmark. (10 female and 9 males)</w:t>
      </w:r>
    </w:p>
    <w:p w:rsidR="003325D7" w:rsidRDefault="003325D7" w:rsidP="00314433">
      <w:pPr>
        <w:pStyle w:val="ListParagraph"/>
        <w:numPr>
          <w:ilvl w:val="0"/>
          <w:numId w:val="7"/>
        </w:numPr>
        <w:jc w:val="both"/>
      </w:pPr>
      <w:r>
        <w:t>2010 -2011 19 out of 33 performed above the national benchmark. (10 females and 9 males)</w:t>
      </w:r>
    </w:p>
    <w:p w:rsidR="009322C0" w:rsidRDefault="003325D7" w:rsidP="00314433">
      <w:pPr>
        <w:jc w:val="both"/>
      </w:pPr>
      <w:r>
        <w:t>These figures are consistent and would suggest that there is not a fundamental issue of one gender repeatedly outperforming the other at the Henley College.</w:t>
      </w:r>
      <w:r w:rsidR="00C05089">
        <w:t xml:space="preserve">  The College has implemented teaching strategies over the last five years to improve the imbalance in the performance between males and females.  This data </w:t>
      </w:r>
      <w:r w:rsidR="00E1023F">
        <w:t>confirms</w:t>
      </w:r>
      <w:r w:rsidR="00C05089">
        <w:t xml:space="preserve"> tha</w:t>
      </w:r>
      <w:r w:rsidR="00314433">
        <w:t>t performance is more evenly balanced in the three years covered by this report</w:t>
      </w:r>
      <w:r w:rsidR="00E1023F">
        <w:t xml:space="preserve"> and that the teaching strategies have been successful in addressing the performance imbalance between genders</w:t>
      </w:r>
      <w:r w:rsidR="00314433">
        <w:t>.</w:t>
      </w:r>
    </w:p>
    <w:p w:rsidR="008E5DEA" w:rsidRDefault="008E5DEA" w:rsidP="00314433">
      <w:pPr>
        <w:jc w:val="both"/>
      </w:pPr>
      <w:r>
        <w:t xml:space="preserve">Analysis of the respective performance of male and female students by ethnic group reveals that there are some distinctions.  For example female African and Bangladeshi students have outperformed their male counterparts twice in the three years covered by this report. Caribbean female students have performed better than male students in all three years whilst male Chinese students have consistently outperformed female Chinese students.  The data will be monitored to ascertain if these trends continue.  </w:t>
      </w:r>
    </w:p>
    <w:p w:rsidR="00A67FE6" w:rsidRDefault="00A67FE6" w:rsidP="00314433">
      <w:pPr>
        <w:jc w:val="both"/>
      </w:pPr>
      <w:r>
        <w:t>Male and female Pakistani students in each of the three years covered by this report have performed below the national benchmark.</w:t>
      </w:r>
      <w:r w:rsidR="008E5DEA">
        <w:t xml:space="preserve"> </w:t>
      </w:r>
      <w:r>
        <w:t>Indian students have also always performed below the national benchmark except female students in 2009 – 2010.</w:t>
      </w:r>
    </w:p>
    <w:p w:rsidR="00252C25" w:rsidRDefault="00252C25">
      <w:r>
        <w:br w:type="page"/>
      </w:r>
    </w:p>
    <w:p w:rsidR="00BC155A" w:rsidRPr="00C03C87" w:rsidRDefault="00F26E96" w:rsidP="00C03C87">
      <w:pPr>
        <w:pStyle w:val="ListParagraph"/>
        <w:numPr>
          <w:ilvl w:val="0"/>
          <w:numId w:val="9"/>
        </w:numPr>
        <w:rPr>
          <w:rFonts w:ascii="Arial" w:hAnsi="Arial" w:cs="Arial"/>
          <w:b/>
          <w:sz w:val="24"/>
          <w:szCs w:val="24"/>
        </w:rPr>
      </w:pPr>
      <w:r w:rsidRPr="00C03C87">
        <w:rPr>
          <w:rFonts w:ascii="Arial" w:hAnsi="Arial" w:cs="Arial"/>
          <w:b/>
          <w:sz w:val="24"/>
          <w:szCs w:val="24"/>
        </w:rPr>
        <w:lastRenderedPageBreak/>
        <w:t>STUDENT DISABILITY DATA</w:t>
      </w:r>
    </w:p>
    <w:p w:rsidR="00BC155A" w:rsidRDefault="00C03C87" w:rsidP="007F0E23">
      <w:r>
        <w:rPr>
          <w:rFonts w:cstheme="minorHAnsi"/>
        </w:rPr>
        <w:t>Please note that this data only deals with disclosed disabilities and there may be more students with disabilities which have not been disclosed.</w:t>
      </w:r>
      <w:r w:rsidR="007B16E7">
        <w:t xml:space="preserve"> </w:t>
      </w:r>
    </w:p>
    <w:p w:rsidR="00D60744" w:rsidRDefault="00D60744" w:rsidP="00252C25">
      <w:pPr>
        <w:jc w:val="both"/>
      </w:pPr>
      <w:r>
        <w:t>The College has made great improvements regarding the performance of students with disabilities.</w:t>
      </w:r>
    </w:p>
    <w:p w:rsidR="00D60744" w:rsidRDefault="00D60744" w:rsidP="00D60744">
      <w:pPr>
        <w:pStyle w:val="ListParagraph"/>
        <w:numPr>
          <w:ilvl w:val="0"/>
          <w:numId w:val="7"/>
        </w:numPr>
        <w:jc w:val="both"/>
      </w:pPr>
      <w:r>
        <w:t xml:space="preserve">2008 -2009 5 out of 10 </w:t>
      </w:r>
      <w:r w:rsidR="00DD72AC">
        <w:t xml:space="preserve">disability categories </w:t>
      </w:r>
      <w:r>
        <w:t xml:space="preserve">met or performed above the national benchmark. </w:t>
      </w:r>
    </w:p>
    <w:p w:rsidR="00D60744" w:rsidRDefault="00D60744" w:rsidP="00D60744">
      <w:pPr>
        <w:pStyle w:val="ListParagraph"/>
        <w:numPr>
          <w:ilvl w:val="0"/>
          <w:numId w:val="7"/>
        </w:numPr>
        <w:jc w:val="both"/>
      </w:pPr>
      <w:r>
        <w:t xml:space="preserve">2009 -2010 9 out of 12 </w:t>
      </w:r>
      <w:r w:rsidR="00DD72AC">
        <w:t xml:space="preserve">disability categories </w:t>
      </w:r>
      <w:r>
        <w:t xml:space="preserve">met or performed above the national benchmark. </w:t>
      </w:r>
    </w:p>
    <w:p w:rsidR="00D60744" w:rsidRDefault="00D60744" w:rsidP="00D60744">
      <w:pPr>
        <w:pStyle w:val="ListParagraph"/>
        <w:numPr>
          <w:ilvl w:val="0"/>
          <w:numId w:val="7"/>
        </w:numPr>
        <w:jc w:val="both"/>
      </w:pPr>
      <w:r>
        <w:t xml:space="preserve">2010 -2011 10 out of 11 </w:t>
      </w:r>
      <w:r w:rsidR="00DD72AC">
        <w:t xml:space="preserve">disability categories </w:t>
      </w:r>
      <w:r>
        <w:t xml:space="preserve">met or performed above the national benchmark. </w:t>
      </w:r>
    </w:p>
    <w:p w:rsidR="00DD72AC" w:rsidRDefault="009E5563" w:rsidP="00DD72AC">
      <w:pPr>
        <w:jc w:val="both"/>
      </w:pPr>
      <w:r>
        <w:t xml:space="preserve">In the last five years </w:t>
      </w:r>
      <w:r w:rsidR="00E660F1">
        <w:t xml:space="preserve">there have been changes to the </w:t>
      </w:r>
      <w:r w:rsidR="00DD72AC">
        <w:t>Upgrade</w:t>
      </w:r>
      <w:r w:rsidR="00E660F1">
        <w:t xml:space="preserve"> provision and Lead Tutor development. There are </w:t>
      </w:r>
      <w:r w:rsidR="00DD72AC">
        <w:t xml:space="preserve">focused strategies regarding the teaching of students with disabilities </w:t>
      </w:r>
      <w:r w:rsidR="00E660F1">
        <w:t xml:space="preserve">delivered by </w:t>
      </w:r>
      <w:r w:rsidR="00DD72AC">
        <w:t xml:space="preserve">Grade 1 </w:t>
      </w:r>
      <w:r w:rsidR="00E660F1">
        <w:t xml:space="preserve">and 2 Tutors </w:t>
      </w:r>
      <w:r w:rsidR="00DD72AC">
        <w:t xml:space="preserve">in Upgrade and </w:t>
      </w:r>
      <w:r w:rsidR="00E660F1">
        <w:t>L</w:t>
      </w:r>
      <w:r w:rsidR="00DD72AC">
        <w:t xml:space="preserve">ead </w:t>
      </w:r>
      <w:r w:rsidR="00E660F1">
        <w:t>T</w:t>
      </w:r>
      <w:r w:rsidR="00DD72AC">
        <w:t xml:space="preserve">utors </w:t>
      </w:r>
      <w:r w:rsidR="0031582A">
        <w:t xml:space="preserve">closely monitor and </w:t>
      </w:r>
      <w:r w:rsidR="00E660F1">
        <w:t xml:space="preserve">implement ‘At Risk’ procedures to ensure </w:t>
      </w:r>
      <w:r w:rsidR="00DD72AC">
        <w:t xml:space="preserve">the welfare </w:t>
      </w:r>
      <w:r w:rsidR="0031582A">
        <w:t>of</w:t>
      </w:r>
      <w:r>
        <w:t xml:space="preserve"> students.  </w:t>
      </w:r>
      <w:r w:rsidR="00DD72AC">
        <w:t xml:space="preserve"> Th</w:t>
      </w:r>
      <w:r w:rsidR="0031582A">
        <w:t>e</w:t>
      </w:r>
      <w:r>
        <w:t xml:space="preserve"> </w:t>
      </w:r>
      <w:r w:rsidR="0031582A">
        <w:t>success of these p</w:t>
      </w:r>
      <w:r w:rsidR="00E660F1">
        <w:t xml:space="preserve">rocedures </w:t>
      </w:r>
      <w:r w:rsidR="0031582A">
        <w:t xml:space="preserve">is clear when </w:t>
      </w:r>
      <w:r w:rsidR="00395DCC">
        <w:t>analysing</w:t>
      </w:r>
      <w:r w:rsidR="0031582A">
        <w:t xml:space="preserve"> the data.</w:t>
      </w:r>
      <w:r w:rsidR="00DD72AC">
        <w:t xml:space="preserve"> </w:t>
      </w:r>
    </w:p>
    <w:p w:rsidR="00836F7A" w:rsidRDefault="006B2CF5" w:rsidP="007F0E23">
      <w:pPr>
        <w:jc w:val="both"/>
      </w:pPr>
      <w:r>
        <w:t xml:space="preserve">There is no one group </w:t>
      </w:r>
      <w:r w:rsidR="0031582A">
        <w:t xml:space="preserve">of students with disabilities </w:t>
      </w:r>
      <w:r w:rsidR="00DD72AC">
        <w:t>which</w:t>
      </w:r>
      <w:r>
        <w:t xml:space="preserve"> stands out as consistently underperforming and </w:t>
      </w:r>
      <w:r w:rsidR="00F26E96">
        <w:t>73% of</w:t>
      </w:r>
      <w:r>
        <w:t xml:space="preserve"> students with a disability at The Henley College perform</w:t>
      </w:r>
      <w:r w:rsidR="00DD72AC">
        <w:t>ed</w:t>
      </w:r>
      <w:r>
        <w:t xml:space="preserve"> above the national average</w:t>
      </w:r>
      <w:r w:rsidR="00DD72AC">
        <w:t xml:space="preserve"> over the three years covered by this report</w:t>
      </w:r>
      <w:r>
        <w:t xml:space="preserve">.  The data will continue to be monitored to ascertain if this continues to be the case.  </w:t>
      </w:r>
      <w:r w:rsidR="00836F7A">
        <w:br w:type="page"/>
      </w:r>
    </w:p>
    <w:p w:rsidR="00836F7A" w:rsidRPr="00252C25" w:rsidRDefault="00252C25" w:rsidP="00836F7A">
      <w:pPr>
        <w:spacing w:after="0"/>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3.</w:t>
      </w:r>
      <w:r>
        <w:rPr>
          <w:rFonts w:ascii="Arial" w:eastAsia="Times New Roman" w:hAnsi="Arial" w:cs="Arial"/>
          <w:b/>
          <w:sz w:val="24"/>
          <w:szCs w:val="24"/>
          <w:lang w:eastAsia="en-GB"/>
        </w:rPr>
        <w:tab/>
      </w:r>
      <w:r w:rsidR="00836F7A" w:rsidRPr="00252C25">
        <w:rPr>
          <w:rFonts w:ascii="Arial" w:eastAsia="Times New Roman" w:hAnsi="Arial" w:cs="Arial"/>
          <w:b/>
          <w:sz w:val="24"/>
          <w:szCs w:val="24"/>
          <w:lang w:eastAsia="en-GB"/>
        </w:rPr>
        <w:t>UPGRADE</w:t>
      </w:r>
    </w:p>
    <w:p w:rsidR="00836F7A" w:rsidRPr="00836F7A" w:rsidRDefault="00836F7A" w:rsidP="00836F7A">
      <w:pPr>
        <w:spacing w:after="0"/>
        <w:jc w:val="both"/>
        <w:rPr>
          <w:rFonts w:eastAsia="Times New Roman" w:cstheme="minorHAnsi"/>
          <w:b/>
          <w:lang w:eastAsia="en-GB"/>
        </w:rPr>
      </w:pPr>
    </w:p>
    <w:p w:rsidR="00836F7A" w:rsidRPr="00836F7A" w:rsidRDefault="00836F7A" w:rsidP="00836F7A">
      <w:pPr>
        <w:spacing w:after="0"/>
        <w:jc w:val="both"/>
        <w:rPr>
          <w:rFonts w:eastAsia="Times New Roman" w:cstheme="minorHAnsi"/>
          <w:u w:val="single"/>
          <w:lang w:eastAsia="en-GB"/>
        </w:rPr>
      </w:pPr>
      <w:r w:rsidRPr="00836F7A">
        <w:rPr>
          <w:rFonts w:eastAsia="Times New Roman" w:cstheme="minorHAnsi"/>
          <w:u w:val="single"/>
          <w:lang w:eastAsia="en-GB"/>
        </w:rPr>
        <w:t>Gender</w:t>
      </w: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 xml:space="preserve">Accepting 1-1 support: Females 122 (52%) </w:t>
      </w:r>
      <w:proofErr w:type="spellStart"/>
      <w:r w:rsidRPr="00836F7A">
        <w:rPr>
          <w:rFonts w:eastAsia="Times New Roman" w:cstheme="minorHAnsi"/>
          <w:lang w:eastAsia="en-GB"/>
        </w:rPr>
        <w:t>cf</w:t>
      </w:r>
      <w:proofErr w:type="spellEnd"/>
      <w:r w:rsidRPr="00836F7A">
        <w:rPr>
          <w:rFonts w:eastAsia="Times New Roman" w:cstheme="minorHAnsi"/>
          <w:lang w:eastAsia="en-GB"/>
        </w:rPr>
        <w:t xml:space="preserve"> Males 111 (48%)</w:t>
      </w: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 xml:space="preserve">College: Females 954 (50%) </w:t>
      </w:r>
      <w:proofErr w:type="spellStart"/>
      <w:r w:rsidRPr="00836F7A">
        <w:rPr>
          <w:rFonts w:eastAsia="Times New Roman" w:cstheme="minorHAnsi"/>
          <w:lang w:eastAsia="en-GB"/>
        </w:rPr>
        <w:t>cf</w:t>
      </w:r>
      <w:proofErr w:type="spellEnd"/>
      <w:r w:rsidRPr="00836F7A">
        <w:rPr>
          <w:rFonts w:eastAsia="Times New Roman" w:cstheme="minorHAnsi"/>
          <w:lang w:eastAsia="en-GB"/>
        </w:rPr>
        <w:t xml:space="preserve"> Males 948 (50%)</w:t>
      </w:r>
    </w:p>
    <w:p w:rsidR="00836F7A" w:rsidRPr="00836F7A" w:rsidRDefault="00836F7A" w:rsidP="00836F7A">
      <w:pPr>
        <w:spacing w:after="0"/>
        <w:jc w:val="both"/>
        <w:rPr>
          <w:rFonts w:eastAsia="Times New Roman" w:cstheme="minorHAnsi"/>
          <w:lang w:eastAsia="en-GB"/>
        </w:rPr>
      </w:pP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 xml:space="preserve">The proportion of male and female students accepting 1-1 support is closely </w:t>
      </w:r>
      <w:proofErr w:type="spellStart"/>
      <w:r w:rsidRPr="00836F7A">
        <w:rPr>
          <w:rFonts w:eastAsia="Times New Roman" w:cstheme="minorHAnsi"/>
          <w:lang w:eastAsia="en-GB"/>
        </w:rPr>
        <w:t>inline</w:t>
      </w:r>
      <w:proofErr w:type="spellEnd"/>
      <w:r w:rsidRPr="00836F7A">
        <w:rPr>
          <w:rFonts w:eastAsia="Times New Roman" w:cstheme="minorHAnsi"/>
          <w:lang w:eastAsia="en-GB"/>
        </w:rPr>
        <w:t xml:space="preserve"> with college gender demographics, and shows an improvement on last 2010-11 figures (f 57%, m 43%). </w:t>
      </w:r>
    </w:p>
    <w:p w:rsidR="00836F7A" w:rsidRPr="00836F7A" w:rsidRDefault="00836F7A" w:rsidP="00836F7A">
      <w:pPr>
        <w:spacing w:after="0"/>
        <w:ind w:right="130"/>
        <w:jc w:val="both"/>
        <w:rPr>
          <w:rFonts w:eastAsia="Times New Roman" w:cstheme="minorHAnsi"/>
          <w:lang w:eastAsia="en-GB"/>
        </w:rPr>
      </w:pPr>
    </w:p>
    <w:p w:rsidR="00836F7A" w:rsidRPr="00836F7A" w:rsidRDefault="00836F7A" w:rsidP="00836F7A">
      <w:pPr>
        <w:spacing w:after="0"/>
        <w:jc w:val="both"/>
        <w:rPr>
          <w:rFonts w:eastAsia="Times New Roman" w:cstheme="minorHAnsi"/>
          <w:u w:val="single"/>
          <w:lang w:eastAsia="en-GB"/>
        </w:rPr>
      </w:pPr>
      <w:r w:rsidRPr="00836F7A">
        <w:rPr>
          <w:rFonts w:eastAsia="Times New Roman" w:cstheme="minorHAnsi"/>
          <w:u w:val="single"/>
          <w:lang w:eastAsia="en-GB"/>
        </w:rPr>
        <w:t xml:space="preserve">Ethnic breakdown of FT college students compared with those accepting 1-1 support </w:t>
      </w:r>
    </w:p>
    <w:p w:rsidR="00836F7A" w:rsidRPr="00836F7A" w:rsidRDefault="00836F7A" w:rsidP="00836F7A">
      <w:pPr>
        <w:spacing w:after="0"/>
        <w:jc w:val="both"/>
        <w:rPr>
          <w:rFonts w:eastAsia="Times New Roman" w:cstheme="minorHAnsi"/>
          <w:lang w:eastAsia="en-GB"/>
        </w:rPr>
      </w:pP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 xml:space="preserve">Total non-white full time students = 14.3%; Total non-white full time students receiving 1-1 support = 22.7% (Shows a greater number of non-white students are accessing support </w:t>
      </w:r>
      <w:proofErr w:type="spellStart"/>
      <w:r w:rsidRPr="00836F7A">
        <w:rPr>
          <w:rFonts w:eastAsia="Times New Roman" w:cstheme="minorHAnsi"/>
          <w:lang w:eastAsia="en-GB"/>
        </w:rPr>
        <w:t>cf</w:t>
      </w:r>
      <w:proofErr w:type="spellEnd"/>
      <w:r w:rsidRPr="00836F7A">
        <w:rPr>
          <w:rFonts w:eastAsia="Times New Roman" w:cstheme="minorHAnsi"/>
          <w:lang w:eastAsia="en-GB"/>
        </w:rPr>
        <w:t xml:space="preserve"> college demographics and 2010-11 figures: total 13.4%; supported 16.2%).</w:t>
      </w:r>
    </w:p>
    <w:p w:rsidR="00836F7A" w:rsidRPr="00836F7A" w:rsidRDefault="00836F7A" w:rsidP="00836F7A">
      <w:pPr>
        <w:spacing w:after="0"/>
        <w:jc w:val="both"/>
        <w:rPr>
          <w:rFonts w:eastAsia="Times New Roman" w:cstheme="minorHAnsi"/>
          <w:lang w:eastAsia="en-GB"/>
        </w:rPr>
      </w:pP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 xml:space="preserve">These figures are very positive and show a good uptake of 1-1 by members of ethnic minority groups; in particular, Pakistani students have benefitted. For the first time since monitoring, Mixed (White &amp; Black Caribbean) students are accessing the service well. Whilst figures highlighted in red are to be closely monitored, they are very close to the college demographics and in some groups there are very few students in college. </w:t>
      </w:r>
    </w:p>
    <w:p w:rsidR="00836F7A" w:rsidRPr="00836F7A" w:rsidRDefault="00836F7A" w:rsidP="00836F7A">
      <w:pPr>
        <w:spacing w:after="0"/>
        <w:jc w:val="both"/>
        <w:rPr>
          <w:rFonts w:eastAsia="Times New Roman" w:cstheme="minorHAnsi"/>
          <w:lang w:eastAsia="en-GB"/>
        </w:rPr>
      </w:pP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White British students do not access 1-1 support in proportion with college demographics however (college total 79%; supported 67%).</w:t>
      </w: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 xml:space="preserve">  </w:t>
      </w:r>
    </w:p>
    <w:p w:rsidR="00836F7A" w:rsidRPr="00836F7A" w:rsidRDefault="00836F7A" w:rsidP="00836F7A">
      <w:pPr>
        <w:spacing w:after="0"/>
        <w:ind w:right="130"/>
        <w:jc w:val="both"/>
        <w:rPr>
          <w:rFonts w:eastAsia="Times New Roman" w:cstheme="minorHAnsi"/>
          <w:u w:val="single"/>
          <w:lang w:eastAsia="en-GB"/>
        </w:rPr>
      </w:pPr>
      <w:r w:rsidRPr="00836F7A">
        <w:rPr>
          <w:rFonts w:eastAsia="Times New Roman" w:cstheme="minorHAnsi"/>
          <w:u w:val="single"/>
          <w:lang w:eastAsia="en-GB"/>
        </w:rPr>
        <w:t>LGBT</w:t>
      </w:r>
    </w:p>
    <w:p w:rsidR="00836F7A" w:rsidRPr="00836F7A" w:rsidRDefault="00836F7A" w:rsidP="00836F7A">
      <w:pPr>
        <w:spacing w:after="0"/>
        <w:ind w:right="130"/>
        <w:jc w:val="both"/>
        <w:rPr>
          <w:rFonts w:eastAsia="Times New Roman" w:cstheme="minorHAnsi"/>
          <w:lang w:eastAsia="en-GB"/>
        </w:rPr>
      </w:pPr>
      <w:r w:rsidRPr="00836F7A">
        <w:rPr>
          <w:rFonts w:eastAsia="Times New Roman" w:cstheme="minorHAnsi"/>
          <w:lang w:eastAsia="en-GB"/>
        </w:rPr>
        <w:t xml:space="preserve">Due to the sensitivity of LGBT there are not statistics for this information. However, anecdotally students have found they can disclose issues of this kind to their 1-1 tutor in a safe environment. In the last few years pastoral support has also been discretely offered by the department to </w:t>
      </w:r>
      <w:proofErr w:type="spellStart"/>
      <w:r w:rsidRPr="00836F7A">
        <w:rPr>
          <w:rFonts w:eastAsia="Times New Roman" w:cstheme="minorHAnsi"/>
          <w:lang w:eastAsia="en-GB"/>
        </w:rPr>
        <w:t>transgendering</w:t>
      </w:r>
      <w:proofErr w:type="spellEnd"/>
      <w:r w:rsidRPr="00836F7A">
        <w:rPr>
          <w:rFonts w:eastAsia="Times New Roman" w:cstheme="minorHAnsi"/>
          <w:lang w:eastAsia="en-GB"/>
        </w:rPr>
        <w:t xml:space="preserve"> students. </w:t>
      </w:r>
    </w:p>
    <w:p w:rsidR="00836F7A" w:rsidRPr="00836F7A" w:rsidRDefault="00836F7A" w:rsidP="00836F7A">
      <w:pPr>
        <w:spacing w:after="0"/>
        <w:ind w:right="130"/>
        <w:jc w:val="both"/>
        <w:rPr>
          <w:rFonts w:eastAsia="Times New Roman" w:cstheme="minorHAnsi"/>
          <w:lang w:eastAsia="en-GB"/>
        </w:rPr>
      </w:pPr>
      <w:r w:rsidRPr="00836F7A">
        <w:rPr>
          <w:rFonts w:eastAsia="Times New Roman" w:cstheme="minorHAnsi"/>
          <w:lang w:eastAsia="en-GB"/>
        </w:rPr>
        <w:t>It is recognised that the lack of statistical information in this area makes it difficult to assess impact.</w:t>
      </w:r>
    </w:p>
    <w:p w:rsidR="00836F7A" w:rsidRPr="00836F7A" w:rsidRDefault="00836F7A" w:rsidP="00836F7A">
      <w:pPr>
        <w:spacing w:after="0"/>
        <w:ind w:right="130"/>
        <w:jc w:val="both"/>
        <w:rPr>
          <w:rFonts w:eastAsia="Times New Roman" w:cstheme="minorHAnsi"/>
          <w:u w:val="single"/>
          <w:lang w:eastAsia="en-GB"/>
        </w:rPr>
      </w:pPr>
    </w:p>
    <w:p w:rsidR="00836F7A" w:rsidRPr="00836F7A" w:rsidRDefault="00836F7A" w:rsidP="00836F7A">
      <w:pPr>
        <w:spacing w:after="0"/>
        <w:ind w:right="130"/>
        <w:jc w:val="both"/>
        <w:rPr>
          <w:rFonts w:eastAsia="Times New Roman" w:cstheme="minorHAnsi"/>
          <w:u w:val="single"/>
          <w:lang w:eastAsia="en-GB"/>
        </w:rPr>
      </w:pPr>
      <w:r w:rsidRPr="00836F7A">
        <w:rPr>
          <w:rFonts w:eastAsia="Times New Roman" w:cstheme="minorHAnsi"/>
          <w:u w:val="single"/>
          <w:lang w:eastAsia="en-GB"/>
        </w:rPr>
        <w:t xml:space="preserve">Disability </w:t>
      </w:r>
    </w:p>
    <w:p w:rsidR="00836F7A" w:rsidRPr="00836F7A" w:rsidRDefault="00836F7A" w:rsidP="00836F7A">
      <w:pPr>
        <w:spacing w:after="0"/>
        <w:jc w:val="both"/>
        <w:rPr>
          <w:rFonts w:eastAsia="Times New Roman" w:cstheme="minorHAnsi"/>
          <w:lang w:eastAsia="en-GB"/>
        </w:rPr>
      </w:pPr>
      <w:r w:rsidRPr="00836F7A">
        <w:rPr>
          <w:rFonts w:eastAsia="Times New Roman" w:cstheme="minorHAnsi"/>
          <w:lang w:eastAsia="en-GB"/>
        </w:rPr>
        <w:t>One of the remits of the department is to allow disabled students the same access to the curriculum as non-disabled students. Classes for disabled students are scheduled on one site where possible.</w:t>
      </w:r>
    </w:p>
    <w:p w:rsidR="00836F7A" w:rsidRPr="00836F7A" w:rsidRDefault="00836F7A" w:rsidP="00836F7A">
      <w:pPr>
        <w:spacing w:after="0"/>
        <w:rPr>
          <w:rFonts w:ascii="Calibri" w:eastAsia="Times New Roman" w:hAnsi="Calibri" w:cs="Times New Roman"/>
          <w:sz w:val="24"/>
          <w:szCs w:val="24"/>
          <w:lang w:eastAsia="en-GB"/>
        </w:rPr>
      </w:pPr>
      <w:r w:rsidRPr="00836F7A">
        <w:rPr>
          <w:rFonts w:ascii="Calibri" w:eastAsia="Times New Roman" w:hAnsi="Calibri" w:cs="Times New Roman"/>
          <w:sz w:val="24"/>
          <w:szCs w:val="24"/>
          <w:lang w:eastAsia="en-GB"/>
        </w:rPr>
        <w:t xml:space="preserve"> </w:t>
      </w:r>
    </w:p>
    <w:p w:rsidR="00494024" w:rsidRDefault="00494024"/>
    <w:p w:rsidR="00494024" w:rsidRDefault="00494024">
      <w:r>
        <w:br w:type="page"/>
      </w:r>
    </w:p>
    <w:p w:rsidR="008E5DEA" w:rsidRPr="00494024" w:rsidRDefault="008E5DEA" w:rsidP="008E5DEA">
      <w:pPr>
        <w:rPr>
          <w:rFonts w:ascii="Arial" w:hAnsi="Arial" w:cs="Arial"/>
          <w:b/>
          <w:sz w:val="24"/>
          <w:szCs w:val="24"/>
        </w:rPr>
      </w:pPr>
      <w:r>
        <w:rPr>
          <w:rFonts w:ascii="Arial" w:hAnsi="Arial" w:cs="Arial"/>
          <w:b/>
          <w:sz w:val="24"/>
          <w:szCs w:val="24"/>
        </w:rPr>
        <w:lastRenderedPageBreak/>
        <w:t>SECTION B - STAFF</w:t>
      </w:r>
    </w:p>
    <w:p w:rsidR="00E660F1" w:rsidRPr="00E660F1" w:rsidRDefault="00E660F1" w:rsidP="00E660F1">
      <w:pPr>
        <w:spacing w:line="240" w:lineRule="auto"/>
        <w:ind w:left="360"/>
        <w:contextualSpacing/>
        <w:rPr>
          <w:rFonts w:cstheme="minorHAnsi"/>
        </w:rPr>
      </w:pPr>
      <w:r w:rsidRPr="00E660F1">
        <w:rPr>
          <w:rFonts w:cstheme="minorHAnsi"/>
          <w:b/>
        </w:rPr>
        <w:t>EQUALITY, DIVERSITY AND INCLUSION (EDI) TRAINING FOR STAFF DURING 2011-2012</w:t>
      </w:r>
      <w:r w:rsidRPr="00E660F1">
        <w:rPr>
          <w:rFonts w:cstheme="minorHAnsi"/>
        </w:rPr>
        <w:t>.</w:t>
      </w:r>
    </w:p>
    <w:p w:rsidR="00E660F1" w:rsidRPr="00E660F1" w:rsidRDefault="00E660F1" w:rsidP="003C0E5F">
      <w:pPr>
        <w:spacing w:line="240" w:lineRule="auto"/>
        <w:ind w:left="360"/>
        <w:contextualSpacing/>
        <w:jc w:val="both"/>
        <w:rPr>
          <w:rFonts w:cstheme="minorHAnsi"/>
        </w:rPr>
      </w:pPr>
      <w:r w:rsidRPr="00E660F1">
        <w:rPr>
          <w:rFonts w:cstheme="minorHAnsi"/>
        </w:rPr>
        <w:t>An EDI session for all staff was organised and delivered by the Director of HR &amp; Professional Development on 10 July 2012. The following aspects were covered:-</w:t>
      </w:r>
    </w:p>
    <w:p w:rsidR="00E660F1" w:rsidRPr="00E660F1" w:rsidRDefault="00E660F1" w:rsidP="003C0E5F">
      <w:pPr>
        <w:numPr>
          <w:ilvl w:val="0"/>
          <w:numId w:val="11"/>
        </w:numPr>
        <w:spacing w:line="240" w:lineRule="auto"/>
        <w:ind w:left="360"/>
        <w:contextualSpacing/>
        <w:jc w:val="both"/>
        <w:rPr>
          <w:rFonts w:cstheme="minorHAnsi"/>
        </w:rPr>
      </w:pPr>
      <w:r w:rsidRPr="00E660F1">
        <w:rPr>
          <w:rFonts w:cstheme="minorHAnsi"/>
        </w:rPr>
        <w:t>An update on the</w:t>
      </w:r>
      <w:r w:rsidRPr="00E660F1">
        <w:rPr>
          <w:rFonts w:ascii="Arial" w:hAnsi="Arial" w:cstheme="minorHAnsi"/>
        </w:rPr>
        <w:t xml:space="preserve"> </w:t>
      </w:r>
      <w:r w:rsidRPr="00E660F1">
        <w:rPr>
          <w:rFonts w:cstheme="minorHAnsi"/>
        </w:rPr>
        <w:t>College Equality Scheme. Equality legislation and our statutory duties</w:t>
      </w:r>
    </w:p>
    <w:p w:rsidR="00E660F1" w:rsidRPr="00E660F1" w:rsidRDefault="00E660F1" w:rsidP="003C0E5F">
      <w:pPr>
        <w:numPr>
          <w:ilvl w:val="0"/>
          <w:numId w:val="11"/>
        </w:numPr>
        <w:spacing w:line="240" w:lineRule="auto"/>
        <w:ind w:left="360"/>
        <w:contextualSpacing/>
        <w:jc w:val="both"/>
        <w:rPr>
          <w:rFonts w:cstheme="minorHAnsi"/>
        </w:rPr>
      </w:pPr>
      <w:r w:rsidRPr="00E660F1">
        <w:rPr>
          <w:rFonts w:cstheme="minorHAnsi"/>
        </w:rPr>
        <w:t>Recap of the protected characteristics and The Equality ‘Wheel’</w:t>
      </w:r>
    </w:p>
    <w:p w:rsidR="00E660F1" w:rsidRPr="00E660F1" w:rsidRDefault="00E660F1" w:rsidP="003C0E5F">
      <w:pPr>
        <w:numPr>
          <w:ilvl w:val="0"/>
          <w:numId w:val="11"/>
        </w:numPr>
        <w:spacing w:line="240" w:lineRule="auto"/>
        <w:ind w:left="360"/>
        <w:contextualSpacing/>
        <w:jc w:val="both"/>
        <w:rPr>
          <w:rFonts w:cstheme="minorHAnsi"/>
          <w:b/>
        </w:rPr>
      </w:pPr>
      <w:r w:rsidRPr="00E660F1">
        <w:rPr>
          <w:rFonts w:cstheme="minorHAnsi"/>
        </w:rPr>
        <w:t xml:space="preserve">The Curriculum &amp; College EDI Data: the requirement for Schemes of Work and Lesson Plans to include opportunities for delivering Equality and Diversity. Why the College monitors the performance of different groups of learners carefully and how that data informs improvement measures. </w:t>
      </w:r>
    </w:p>
    <w:p w:rsidR="00E660F1" w:rsidRPr="00E660F1" w:rsidRDefault="00E660F1" w:rsidP="003C0E5F">
      <w:pPr>
        <w:numPr>
          <w:ilvl w:val="0"/>
          <w:numId w:val="11"/>
        </w:numPr>
        <w:tabs>
          <w:tab w:val="left" w:pos="3600"/>
        </w:tabs>
        <w:spacing w:line="240" w:lineRule="auto"/>
        <w:ind w:left="360"/>
        <w:contextualSpacing/>
        <w:jc w:val="both"/>
        <w:rPr>
          <w:rFonts w:cstheme="minorHAnsi"/>
        </w:rPr>
      </w:pPr>
      <w:r w:rsidRPr="00E660F1">
        <w:rPr>
          <w:rFonts w:cstheme="minorHAnsi"/>
        </w:rPr>
        <w:t>Case Studies</w:t>
      </w:r>
    </w:p>
    <w:p w:rsidR="00E660F1" w:rsidRPr="00E660F1" w:rsidRDefault="00E660F1" w:rsidP="003C0E5F">
      <w:pPr>
        <w:numPr>
          <w:ilvl w:val="0"/>
          <w:numId w:val="11"/>
        </w:numPr>
        <w:tabs>
          <w:tab w:val="left" w:pos="3600"/>
        </w:tabs>
        <w:spacing w:line="240" w:lineRule="auto"/>
        <w:ind w:left="360"/>
        <w:contextualSpacing/>
        <w:jc w:val="both"/>
        <w:rPr>
          <w:rFonts w:cstheme="minorHAnsi"/>
        </w:rPr>
      </w:pPr>
      <w:r w:rsidRPr="00E660F1">
        <w:rPr>
          <w:rFonts w:cstheme="minorHAnsi"/>
        </w:rPr>
        <w:t xml:space="preserve">Investors in Diversity (IID): a standard endorsed by the National Centre for Diversity (NCFD) which helps organisations to create, develop and embed a culture of equality, diversity and inclusion. The development of effective behaviours and practices. </w:t>
      </w:r>
    </w:p>
    <w:p w:rsidR="00E660F1" w:rsidRPr="00E660F1" w:rsidRDefault="00E660F1" w:rsidP="003C0E5F">
      <w:pPr>
        <w:numPr>
          <w:ilvl w:val="0"/>
          <w:numId w:val="11"/>
        </w:numPr>
        <w:tabs>
          <w:tab w:val="left" w:pos="3600"/>
        </w:tabs>
        <w:spacing w:line="240" w:lineRule="auto"/>
        <w:ind w:left="360"/>
        <w:contextualSpacing/>
        <w:jc w:val="both"/>
        <w:rPr>
          <w:rFonts w:cstheme="minorHAnsi"/>
        </w:rPr>
      </w:pPr>
      <w:r w:rsidRPr="00E660F1">
        <w:rPr>
          <w:rFonts w:cstheme="minorHAnsi"/>
        </w:rPr>
        <w:t>The membership and terms of reference for the Staff Equality, Diversity and Inclusion Group</w:t>
      </w:r>
    </w:p>
    <w:p w:rsidR="0013752B" w:rsidRDefault="0013752B" w:rsidP="003C0E5F">
      <w:pPr>
        <w:spacing w:line="240" w:lineRule="auto"/>
        <w:ind w:left="360"/>
        <w:contextualSpacing/>
        <w:jc w:val="both"/>
        <w:rPr>
          <w:rFonts w:cstheme="minorHAnsi"/>
          <w:b/>
        </w:rPr>
      </w:pPr>
    </w:p>
    <w:p w:rsidR="00E660F1" w:rsidRPr="00E660F1" w:rsidRDefault="00E660F1" w:rsidP="003C0E5F">
      <w:pPr>
        <w:spacing w:line="240" w:lineRule="auto"/>
        <w:ind w:left="360"/>
        <w:contextualSpacing/>
        <w:jc w:val="both"/>
        <w:rPr>
          <w:rFonts w:cstheme="minorHAnsi"/>
          <w:b/>
        </w:rPr>
      </w:pPr>
      <w:r w:rsidRPr="00E660F1">
        <w:rPr>
          <w:rFonts w:cstheme="minorHAnsi"/>
          <w:b/>
        </w:rPr>
        <w:t>THE HENLEY COLLEGE STUDENT UNION (HCSU)</w:t>
      </w:r>
    </w:p>
    <w:p w:rsidR="00E660F1" w:rsidRPr="00E660F1" w:rsidRDefault="00E660F1" w:rsidP="003C0E5F">
      <w:pPr>
        <w:spacing w:line="240" w:lineRule="auto"/>
        <w:ind w:left="360"/>
        <w:contextualSpacing/>
        <w:jc w:val="both"/>
        <w:rPr>
          <w:rFonts w:cstheme="minorHAnsi"/>
        </w:rPr>
      </w:pPr>
      <w:r w:rsidRPr="00E660F1">
        <w:rPr>
          <w:rFonts w:cstheme="minorHAnsi"/>
        </w:rPr>
        <w:t xml:space="preserve">1 October 2012: The Director of HR &amp; Professional Development met with the HCSU. They responded very positively to embedding EDI in the College and the idea of establishing a Student EDI Focus Group. The Group will consist of 2 representatives from the HCSU and 2 representatives from each School of Study (S of S) who would meet with the Director of HR and Professional Development each half term.  The initial areas of consideration for the Student EDI Focus Group will be to highlight examples of best EDI practice in the College and to discuss any difficulties encountered.  </w:t>
      </w:r>
    </w:p>
    <w:p w:rsidR="00E660F1" w:rsidRPr="00E660F1" w:rsidRDefault="00E660F1" w:rsidP="003C0E5F">
      <w:pPr>
        <w:spacing w:line="240" w:lineRule="auto"/>
        <w:ind w:left="360"/>
        <w:contextualSpacing/>
        <w:jc w:val="both"/>
        <w:rPr>
          <w:rFonts w:cstheme="minorHAnsi"/>
        </w:rPr>
      </w:pPr>
      <w:r w:rsidRPr="00E660F1">
        <w:rPr>
          <w:rFonts w:cstheme="minorHAnsi"/>
        </w:rPr>
        <w:t>They HCSU will also build on the success of the Love Music Hate Racism concert last year by arranging a similar event.</w:t>
      </w:r>
    </w:p>
    <w:p w:rsidR="00E660F1" w:rsidRPr="00E660F1" w:rsidRDefault="00E660F1" w:rsidP="003C0E5F">
      <w:pPr>
        <w:spacing w:line="240" w:lineRule="auto"/>
        <w:ind w:left="360"/>
        <w:contextualSpacing/>
        <w:jc w:val="both"/>
        <w:rPr>
          <w:rFonts w:cstheme="minorHAnsi"/>
          <w:b/>
        </w:rPr>
      </w:pPr>
      <w:r w:rsidRPr="00E660F1">
        <w:rPr>
          <w:rFonts w:cstheme="minorHAnsi"/>
        </w:rPr>
        <w:t xml:space="preserve">      </w:t>
      </w:r>
    </w:p>
    <w:p w:rsidR="00E660F1" w:rsidRPr="00E660F1" w:rsidRDefault="00E660F1" w:rsidP="003C0E5F">
      <w:pPr>
        <w:spacing w:line="240" w:lineRule="auto"/>
        <w:ind w:left="360"/>
        <w:contextualSpacing/>
        <w:jc w:val="both"/>
        <w:rPr>
          <w:rFonts w:cstheme="minorHAnsi"/>
          <w:b/>
        </w:rPr>
      </w:pPr>
      <w:r w:rsidRPr="00E660F1">
        <w:rPr>
          <w:rFonts w:cstheme="minorHAnsi"/>
          <w:b/>
        </w:rPr>
        <w:t>STAFF EDI GROUP MEETING</w:t>
      </w:r>
    </w:p>
    <w:p w:rsidR="00E660F1" w:rsidRPr="00E660F1" w:rsidRDefault="00E660F1" w:rsidP="003C0E5F">
      <w:pPr>
        <w:tabs>
          <w:tab w:val="left" w:pos="7983"/>
          <w:tab w:val="left" w:pos="9376"/>
        </w:tabs>
        <w:ind w:left="360"/>
        <w:contextualSpacing/>
        <w:jc w:val="both"/>
        <w:rPr>
          <w:rFonts w:cstheme="minorHAnsi"/>
        </w:rPr>
      </w:pPr>
      <w:r w:rsidRPr="00E660F1">
        <w:rPr>
          <w:rFonts w:cstheme="minorHAnsi"/>
        </w:rPr>
        <w:t>The Group met on 3 October 2012 to discuss EDI events for 2012-2013.</w:t>
      </w:r>
    </w:p>
    <w:p w:rsidR="00E660F1" w:rsidRPr="00E660F1" w:rsidRDefault="00E660F1" w:rsidP="003C0E5F">
      <w:pPr>
        <w:spacing w:line="240" w:lineRule="auto"/>
        <w:ind w:left="360"/>
        <w:contextualSpacing/>
        <w:jc w:val="both"/>
        <w:rPr>
          <w:rFonts w:cstheme="minorHAnsi"/>
        </w:rPr>
      </w:pPr>
      <w:r w:rsidRPr="00E660F1">
        <w:rPr>
          <w:rFonts w:cstheme="minorHAnsi"/>
        </w:rPr>
        <w:t>It was decided that a College Lecture should be held in the Spring Term (Wednesday) and used as the lynch pin of a three day Equality and Diversity event. The speaker should be inspirational: achieving against the odds or similar. The 3-day programme will run alongside other Equality and Diversity events throughout the year which will be branded as ‘EDI Events’ on a purple background.  These could include displays in the library (Black History month), photography competition, wheelchair Basketball, themed meals in the canteen. It was felt that the College already has EDI activities within the Curriculum such as Health Studies covering disability and visual impairment and these activities could be better highlighted and recorded.</w:t>
      </w:r>
    </w:p>
    <w:p w:rsidR="00E660F1" w:rsidRPr="00E660F1" w:rsidRDefault="00E660F1" w:rsidP="003C0E5F">
      <w:pPr>
        <w:spacing w:line="240" w:lineRule="auto"/>
        <w:ind w:left="360"/>
        <w:contextualSpacing/>
        <w:jc w:val="both"/>
        <w:rPr>
          <w:rFonts w:cstheme="minorHAnsi"/>
        </w:rPr>
      </w:pPr>
    </w:p>
    <w:p w:rsidR="00E660F1" w:rsidRPr="00E660F1" w:rsidRDefault="00E660F1" w:rsidP="003C0E5F">
      <w:pPr>
        <w:spacing w:line="240" w:lineRule="auto"/>
        <w:ind w:firstLine="360"/>
        <w:contextualSpacing/>
        <w:jc w:val="both"/>
        <w:rPr>
          <w:rFonts w:cstheme="minorHAnsi"/>
          <w:b/>
        </w:rPr>
      </w:pPr>
      <w:r w:rsidRPr="00E660F1">
        <w:rPr>
          <w:rFonts w:cstheme="minorHAnsi"/>
          <w:b/>
        </w:rPr>
        <w:t>ADVERTISING</w:t>
      </w:r>
    </w:p>
    <w:p w:rsidR="00E660F1" w:rsidRPr="00E660F1" w:rsidRDefault="00E660F1" w:rsidP="003C0E5F">
      <w:pPr>
        <w:spacing w:line="240" w:lineRule="auto"/>
        <w:ind w:firstLine="360"/>
        <w:contextualSpacing/>
        <w:jc w:val="both"/>
        <w:rPr>
          <w:rFonts w:cstheme="minorHAnsi"/>
        </w:rPr>
      </w:pPr>
      <w:r w:rsidRPr="00E660F1">
        <w:rPr>
          <w:rFonts w:cstheme="minorHAnsi"/>
          <w:b/>
        </w:rPr>
        <w:t xml:space="preserve">IiD Logo: </w:t>
      </w:r>
      <w:r w:rsidRPr="00E660F1">
        <w:rPr>
          <w:rFonts w:cstheme="minorHAnsi"/>
        </w:rPr>
        <w:t>This is now included in all staff recruitment advertising.</w:t>
      </w:r>
    </w:p>
    <w:p w:rsidR="00E660F1" w:rsidRPr="00E660F1" w:rsidRDefault="00E660F1" w:rsidP="003C0E5F">
      <w:pPr>
        <w:spacing w:line="240" w:lineRule="auto"/>
        <w:ind w:firstLine="360"/>
        <w:contextualSpacing/>
        <w:jc w:val="both"/>
        <w:rPr>
          <w:rFonts w:cstheme="minorHAnsi"/>
          <w:b/>
        </w:rPr>
      </w:pPr>
      <w:r w:rsidRPr="00E660F1">
        <w:rPr>
          <w:rFonts w:cstheme="minorHAnsi"/>
          <w:b/>
        </w:rPr>
        <w:t xml:space="preserve">Enable magazine: </w:t>
      </w:r>
      <w:r w:rsidRPr="00E660F1">
        <w:rPr>
          <w:rFonts w:cstheme="minorHAnsi"/>
        </w:rPr>
        <w:t>A College advertisement has been placed in the November/December issues</w:t>
      </w:r>
    </w:p>
    <w:p w:rsidR="00E660F1" w:rsidRPr="00E660F1" w:rsidRDefault="00E660F1" w:rsidP="003C0E5F">
      <w:pPr>
        <w:spacing w:line="240" w:lineRule="auto"/>
        <w:ind w:left="360"/>
        <w:contextualSpacing/>
        <w:jc w:val="both"/>
        <w:rPr>
          <w:rFonts w:cstheme="minorHAnsi"/>
          <w:lang w:val="en-US"/>
        </w:rPr>
      </w:pPr>
      <w:r w:rsidRPr="00E660F1">
        <w:rPr>
          <w:rFonts w:cstheme="minorHAnsi"/>
          <w:lang w:val="en-US"/>
        </w:rPr>
        <w:t xml:space="preserve">Enable magazine is a forward-thinking, award-nominated disability lifestyle magazine. They focus on what disabled people can do rather than what they can’t. Enable promotes a positive message about all aspects of disability – long-term illness, mobility problems, learning disability, disfigurement and everything in between. </w:t>
      </w:r>
    </w:p>
    <w:p w:rsidR="00E660F1" w:rsidRPr="00E660F1" w:rsidRDefault="00E660F1" w:rsidP="003C0E5F">
      <w:pPr>
        <w:tabs>
          <w:tab w:val="left" w:pos="7983"/>
          <w:tab w:val="left" w:pos="9376"/>
        </w:tabs>
        <w:ind w:left="360"/>
        <w:contextualSpacing/>
        <w:jc w:val="both"/>
        <w:rPr>
          <w:b/>
          <w:sz w:val="24"/>
          <w:szCs w:val="24"/>
        </w:rPr>
      </w:pPr>
      <w:r w:rsidRPr="00E660F1">
        <w:rPr>
          <w:rFonts w:cstheme="minorHAnsi"/>
          <w:b/>
        </w:rPr>
        <w:t xml:space="preserve">‘Right 2 Work 2013’: </w:t>
      </w:r>
      <w:r w:rsidRPr="00E660F1">
        <w:rPr>
          <w:rFonts w:cstheme="minorHAnsi"/>
        </w:rPr>
        <w:t>The College has placed an advertisement in this publication in support of the work of Rehab. ‘Right 2 Work’ is a charitable organisation which assists disabled people to achieve their vocational aspirations by providing information on specialist service providers, proactive employers and other useful resources and job seeking adv</w:t>
      </w:r>
      <w:r>
        <w:rPr>
          <w:rFonts w:cstheme="minorHAnsi"/>
        </w:rPr>
        <w:t>ice.</w:t>
      </w:r>
      <w:r w:rsidRPr="00E660F1">
        <w:rPr>
          <w:b/>
          <w:sz w:val="24"/>
          <w:szCs w:val="24"/>
        </w:rPr>
        <w:br w:type="page"/>
      </w:r>
    </w:p>
    <w:p w:rsidR="00E660F1" w:rsidRPr="00E660F1" w:rsidRDefault="00E660F1" w:rsidP="003C0E5F">
      <w:pPr>
        <w:spacing w:line="240" w:lineRule="auto"/>
        <w:ind w:left="360"/>
        <w:contextualSpacing/>
        <w:jc w:val="both"/>
        <w:rPr>
          <w:b/>
          <w:sz w:val="24"/>
          <w:szCs w:val="24"/>
        </w:rPr>
      </w:pPr>
      <w:r w:rsidRPr="00E660F1">
        <w:rPr>
          <w:b/>
          <w:sz w:val="24"/>
          <w:szCs w:val="24"/>
        </w:rPr>
        <w:lastRenderedPageBreak/>
        <w:t>STAFF STATISTICAL DATA</w:t>
      </w:r>
    </w:p>
    <w:p w:rsidR="00E660F1" w:rsidRPr="00E660F1" w:rsidRDefault="00E660F1" w:rsidP="003C0E5F">
      <w:pPr>
        <w:spacing w:line="240" w:lineRule="auto"/>
        <w:ind w:left="360"/>
        <w:contextualSpacing/>
        <w:jc w:val="both"/>
        <w:rPr>
          <w:b/>
          <w:sz w:val="24"/>
          <w:szCs w:val="24"/>
        </w:rPr>
      </w:pPr>
    </w:p>
    <w:p w:rsidR="00E660F1" w:rsidRPr="00E660F1" w:rsidRDefault="00E660F1" w:rsidP="003C0E5F">
      <w:pPr>
        <w:spacing w:line="240" w:lineRule="auto"/>
        <w:ind w:left="360"/>
        <w:contextualSpacing/>
        <w:jc w:val="both"/>
        <w:rPr>
          <w:b/>
          <w:sz w:val="24"/>
          <w:szCs w:val="24"/>
        </w:rPr>
      </w:pPr>
      <w:r w:rsidRPr="00E660F1">
        <w:rPr>
          <w:b/>
          <w:sz w:val="24"/>
          <w:szCs w:val="24"/>
        </w:rPr>
        <w:t>GENDER PROFILE</w:t>
      </w:r>
    </w:p>
    <w:tbl>
      <w:tblPr>
        <w:tblStyle w:val="TableGrid1"/>
        <w:tblW w:w="0" w:type="auto"/>
        <w:tblInd w:w="360" w:type="dxa"/>
        <w:tblLayout w:type="fixed"/>
        <w:tblLook w:val="04A0" w:firstRow="1" w:lastRow="0" w:firstColumn="1" w:lastColumn="0" w:noHBand="0" w:noVBand="1"/>
      </w:tblPr>
      <w:tblGrid>
        <w:gridCol w:w="1733"/>
        <w:gridCol w:w="1701"/>
        <w:gridCol w:w="1843"/>
        <w:gridCol w:w="1842"/>
        <w:gridCol w:w="1701"/>
      </w:tblGrid>
      <w:tr w:rsidR="00E660F1" w:rsidRPr="00E660F1" w:rsidTr="00395DCC">
        <w:tc>
          <w:tcPr>
            <w:tcW w:w="8820" w:type="dxa"/>
            <w:gridSpan w:val="5"/>
            <w:vAlign w:val="center"/>
          </w:tcPr>
          <w:p w:rsidR="00E660F1" w:rsidRPr="00E660F1" w:rsidRDefault="00E660F1" w:rsidP="003C0E5F">
            <w:pPr>
              <w:contextualSpacing/>
              <w:jc w:val="both"/>
              <w:rPr>
                <w:b/>
                <w:sz w:val="24"/>
                <w:szCs w:val="24"/>
              </w:rPr>
            </w:pPr>
            <w:r w:rsidRPr="00E660F1">
              <w:rPr>
                <w:b/>
                <w:sz w:val="24"/>
                <w:szCs w:val="24"/>
              </w:rPr>
              <w:t>The Henley College Data</w:t>
            </w:r>
          </w:p>
        </w:tc>
      </w:tr>
      <w:tr w:rsidR="00395DCC" w:rsidRPr="00E660F1" w:rsidTr="00395DCC">
        <w:tc>
          <w:tcPr>
            <w:tcW w:w="1733" w:type="dxa"/>
            <w:vAlign w:val="center"/>
          </w:tcPr>
          <w:p w:rsidR="00395DCC" w:rsidRPr="00E660F1" w:rsidRDefault="00395DCC" w:rsidP="003C0E5F">
            <w:pPr>
              <w:contextualSpacing/>
              <w:jc w:val="both"/>
              <w:rPr>
                <w:b/>
                <w:sz w:val="24"/>
                <w:szCs w:val="24"/>
              </w:rPr>
            </w:pPr>
            <w:r w:rsidRPr="00E660F1">
              <w:rPr>
                <w:b/>
                <w:sz w:val="24"/>
                <w:szCs w:val="24"/>
              </w:rPr>
              <w:t>Year</w:t>
            </w:r>
          </w:p>
        </w:tc>
        <w:tc>
          <w:tcPr>
            <w:tcW w:w="1701" w:type="dxa"/>
            <w:vAlign w:val="center"/>
          </w:tcPr>
          <w:p w:rsidR="00395DCC" w:rsidRPr="00E660F1" w:rsidRDefault="00395DCC" w:rsidP="003C0E5F">
            <w:pPr>
              <w:contextualSpacing/>
              <w:jc w:val="both"/>
              <w:rPr>
                <w:b/>
                <w:sz w:val="24"/>
                <w:szCs w:val="24"/>
              </w:rPr>
            </w:pPr>
            <w:r w:rsidRPr="00E660F1">
              <w:rPr>
                <w:b/>
                <w:sz w:val="24"/>
                <w:szCs w:val="24"/>
              </w:rPr>
              <w:t>Male FT</w:t>
            </w:r>
          </w:p>
        </w:tc>
        <w:tc>
          <w:tcPr>
            <w:tcW w:w="1843" w:type="dxa"/>
            <w:vAlign w:val="center"/>
          </w:tcPr>
          <w:p w:rsidR="00395DCC" w:rsidRPr="00E660F1" w:rsidRDefault="00395DCC" w:rsidP="003C0E5F">
            <w:pPr>
              <w:contextualSpacing/>
              <w:jc w:val="both"/>
              <w:rPr>
                <w:b/>
                <w:sz w:val="24"/>
                <w:szCs w:val="24"/>
              </w:rPr>
            </w:pPr>
            <w:r w:rsidRPr="00E660F1">
              <w:rPr>
                <w:b/>
                <w:sz w:val="24"/>
                <w:szCs w:val="24"/>
              </w:rPr>
              <w:t>Female FT</w:t>
            </w:r>
          </w:p>
        </w:tc>
        <w:tc>
          <w:tcPr>
            <w:tcW w:w="1842" w:type="dxa"/>
            <w:vAlign w:val="center"/>
          </w:tcPr>
          <w:p w:rsidR="00395DCC" w:rsidRPr="00E660F1" w:rsidRDefault="00395DCC" w:rsidP="003C0E5F">
            <w:pPr>
              <w:contextualSpacing/>
              <w:jc w:val="both"/>
              <w:rPr>
                <w:b/>
                <w:sz w:val="24"/>
                <w:szCs w:val="24"/>
              </w:rPr>
            </w:pPr>
            <w:r w:rsidRPr="00E660F1">
              <w:rPr>
                <w:b/>
                <w:sz w:val="24"/>
                <w:szCs w:val="24"/>
              </w:rPr>
              <w:t>Male PT</w:t>
            </w:r>
          </w:p>
        </w:tc>
        <w:tc>
          <w:tcPr>
            <w:tcW w:w="1701" w:type="dxa"/>
            <w:vAlign w:val="center"/>
          </w:tcPr>
          <w:p w:rsidR="00395DCC" w:rsidRPr="00E660F1" w:rsidRDefault="00395DCC" w:rsidP="003C0E5F">
            <w:pPr>
              <w:contextualSpacing/>
              <w:jc w:val="both"/>
              <w:rPr>
                <w:b/>
                <w:sz w:val="24"/>
                <w:szCs w:val="24"/>
              </w:rPr>
            </w:pPr>
            <w:r w:rsidRPr="00E660F1">
              <w:rPr>
                <w:b/>
                <w:sz w:val="24"/>
                <w:szCs w:val="24"/>
              </w:rPr>
              <w:t>Female PT</w:t>
            </w:r>
          </w:p>
        </w:tc>
      </w:tr>
      <w:tr w:rsidR="00395DCC" w:rsidRPr="00E660F1" w:rsidTr="00395DCC">
        <w:tc>
          <w:tcPr>
            <w:tcW w:w="1733" w:type="dxa"/>
          </w:tcPr>
          <w:p w:rsidR="00395DCC" w:rsidRPr="00E660F1" w:rsidRDefault="00395DCC" w:rsidP="003C0E5F">
            <w:pPr>
              <w:contextualSpacing/>
              <w:jc w:val="both"/>
              <w:rPr>
                <w:b/>
                <w:sz w:val="24"/>
                <w:szCs w:val="24"/>
              </w:rPr>
            </w:pPr>
            <w:r w:rsidRPr="00E660F1">
              <w:rPr>
                <w:b/>
                <w:sz w:val="24"/>
                <w:szCs w:val="24"/>
              </w:rPr>
              <w:t>2011 -2012</w:t>
            </w:r>
          </w:p>
        </w:tc>
        <w:tc>
          <w:tcPr>
            <w:tcW w:w="1701" w:type="dxa"/>
            <w:vAlign w:val="center"/>
          </w:tcPr>
          <w:p w:rsidR="00395DCC" w:rsidRPr="00E660F1" w:rsidRDefault="00395DCC" w:rsidP="003C0E5F">
            <w:pPr>
              <w:contextualSpacing/>
              <w:jc w:val="both"/>
              <w:rPr>
                <w:sz w:val="24"/>
                <w:szCs w:val="24"/>
              </w:rPr>
            </w:pPr>
            <w:r>
              <w:rPr>
                <w:sz w:val="24"/>
                <w:szCs w:val="24"/>
              </w:rPr>
              <w:t>66</w:t>
            </w:r>
          </w:p>
        </w:tc>
        <w:tc>
          <w:tcPr>
            <w:tcW w:w="1843" w:type="dxa"/>
            <w:vAlign w:val="center"/>
          </w:tcPr>
          <w:p w:rsidR="00395DCC" w:rsidRPr="00E660F1" w:rsidRDefault="00395DCC" w:rsidP="003C0E5F">
            <w:pPr>
              <w:contextualSpacing/>
              <w:jc w:val="both"/>
              <w:rPr>
                <w:sz w:val="24"/>
                <w:szCs w:val="24"/>
              </w:rPr>
            </w:pPr>
            <w:r>
              <w:rPr>
                <w:sz w:val="24"/>
                <w:szCs w:val="24"/>
              </w:rPr>
              <w:t>86</w:t>
            </w:r>
          </w:p>
        </w:tc>
        <w:tc>
          <w:tcPr>
            <w:tcW w:w="1842" w:type="dxa"/>
            <w:vAlign w:val="center"/>
          </w:tcPr>
          <w:p w:rsidR="00395DCC" w:rsidRPr="00E660F1" w:rsidRDefault="00395DCC" w:rsidP="003C0E5F">
            <w:pPr>
              <w:contextualSpacing/>
              <w:jc w:val="both"/>
              <w:rPr>
                <w:sz w:val="24"/>
                <w:szCs w:val="24"/>
              </w:rPr>
            </w:pPr>
            <w:r>
              <w:rPr>
                <w:sz w:val="24"/>
                <w:szCs w:val="24"/>
              </w:rPr>
              <w:t>32</w:t>
            </w:r>
          </w:p>
        </w:tc>
        <w:tc>
          <w:tcPr>
            <w:tcW w:w="1701" w:type="dxa"/>
            <w:vAlign w:val="center"/>
          </w:tcPr>
          <w:p w:rsidR="00395DCC" w:rsidRPr="00E660F1" w:rsidRDefault="00395DCC" w:rsidP="003C0E5F">
            <w:pPr>
              <w:contextualSpacing/>
              <w:jc w:val="both"/>
              <w:rPr>
                <w:sz w:val="24"/>
                <w:szCs w:val="24"/>
              </w:rPr>
            </w:pPr>
            <w:r>
              <w:rPr>
                <w:sz w:val="24"/>
                <w:szCs w:val="24"/>
              </w:rPr>
              <w:t>137</w:t>
            </w:r>
          </w:p>
        </w:tc>
      </w:tr>
      <w:tr w:rsidR="00395DCC" w:rsidRPr="00E660F1" w:rsidTr="00395DCC">
        <w:tc>
          <w:tcPr>
            <w:tcW w:w="1733" w:type="dxa"/>
          </w:tcPr>
          <w:p w:rsidR="00395DCC" w:rsidRPr="00E660F1" w:rsidRDefault="00395DCC" w:rsidP="003C0E5F">
            <w:pPr>
              <w:contextualSpacing/>
              <w:jc w:val="both"/>
              <w:rPr>
                <w:b/>
                <w:sz w:val="24"/>
                <w:szCs w:val="24"/>
              </w:rPr>
            </w:pPr>
          </w:p>
        </w:tc>
        <w:tc>
          <w:tcPr>
            <w:tcW w:w="1701" w:type="dxa"/>
            <w:vAlign w:val="center"/>
          </w:tcPr>
          <w:p w:rsidR="00395DCC" w:rsidRPr="00E660F1" w:rsidRDefault="00395DCC" w:rsidP="003C0E5F">
            <w:pPr>
              <w:contextualSpacing/>
              <w:jc w:val="both"/>
              <w:rPr>
                <w:sz w:val="24"/>
                <w:szCs w:val="24"/>
              </w:rPr>
            </w:pPr>
            <w:r>
              <w:rPr>
                <w:sz w:val="24"/>
                <w:szCs w:val="24"/>
              </w:rPr>
              <w:t>20.6%</w:t>
            </w:r>
          </w:p>
        </w:tc>
        <w:tc>
          <w:tcPr>
            <w:tcW w:w="1843" w:type="dxa"/>
            <w:vAlign w:val="center"/>
          </w:tcPr>
          <w:p w:rsidR="00395DCC" w:rsidRPr="00E660F1" w:rsidRDefault="00395DCC" w:rsidP="003C0E5F">
            <w:pPr>
              <w:contextualSpacing/>
              <w:jc w:val="both"/>
              <w:rPr>
                <w:sz w:val="24"/>
                <w:szCs w:val="24"/>
              </w:rPr>
            </w:pPr>
            <w:r>
              <w:rPr>
                <w:sz w:val="24"/>
                <w:szCs w:val="24"/>
              </w:rPr>
              <w:t>26.8%</w:t>
            </w:r>
          </w:p>
        </w:tc>
        <w:tc>
          <w:tcPr>
            <w:tcW w:w="1842" w:type="dxa"/>
            <w:vAlign w:val="center"/>
          </w:tcPr>
          <w:p w:rsidR="00395DCC" w:rsidRPr="00E660F1" w:rsidRDefault="00395DCC" w:rsidP="00536F71">
            <w:pPr>
              <w:contextualSpacing/>
              <w:jc w:val="both"/>
              <w:rPr>
                <w:sz w:val="24"/>
                <w:szCs w:val="24"/>
              </w:rPr>
            </w:pPr>
            <w:r>
              <w:rPr>
                <w:sz w:val="24"/>
                <w:szCs w:val="24"/>
              </w:rPr>
              <w:t>9.9%</w:t>
            </w:r>
          </w:p>
        </w:tc>
        <w:tc>
          <w:tcPr>
            <w:tcW w:w="1701" w:type="dxa"/>
            <w:vAlign w:val="center"/>
          </w:tcPr>
          <w:p w:rsidR="00395DCC" w:rsidRPr="00E660F1" w:rsidRDefault="00395DCC" w:rsidP="003C0E5F">
            <w:pPr>
              <w:contextualSpacing/>
              <w:jc w:val="both"/>
              <w:rPr>
                <w:sz w:val="24"/>
                <w:szCs w:val="24"/>
              </w:rPr>
            </w:pPr>
            <w:r>
              <w:rPr>
                <w:sz w:val="24"/>
                <w:szCs w:val="24"/>
              </w:rPr>
              <w:t>42.7%</w:t>
            </w:r>
          </w:p>
        </w:tc>
      </w:tr>
      <w:tr w:rsidR="00395DCC" w:rsidRPr="00E660F1" w:rsidTr="00395DCC">
        <w:tc>
          <w:tcPr>
            <w:tcW w:w="1733" w:type="dxa"/>
          </w:tcPr>
          <w:p w:rsidR="00395DCC" w:rsidRPr="00E660F1" w:rsidRDefault="00395DCC" w:rsidP="003C0E5F">
            <w:pPr>
              <w:contextualSpacing/>
              <w:jc w:val="both"/>
              <w:rPr>
                <w:b/>
                <w:sz w:val="24"/>
                <w:szCs w:val="24"/>
              </w:rPr>
            </w:pPr>
            <w:r w:rsidRPr="00E660F1">
              <w:rPr>
                <w:b/>
                <w:sz w:val="24"/>
                <w:szCs w:val="24"/>
              </w:rPr>
              <w:t>2010 -2011</w:t>
            </w:r>
          </w:p>
        </w:tc>
        <w:tc>
          <w:tcPr>
            <w:tcW w:w="1701" w:type="dxa"/>
            <w:vAlign w:val="center"/>
          </w:tcPr>
          <w:p w:rsidR="00395DCC" w:rsidRPr="00E660F1" w:rsidRDefault="00395DCC" w:rsidP="003C0E5F">
            <w:pPr>
              <w:contextualSpacing/>
              <w:jc w:val="both"/>
              <w:rPr>
                <w:sz w:val="24"/>
                <w:szCs w:val="24"/>
              </w:rPr>
            </w:pPr>
            <w:r w:rsidRPr="00E660F1">
              <w:rPr>
                <w:sz w:val="24"/>
                <w:szCs w:val="24"/>
              </w:rPr>
              <w:t>47</w:t>
            </w:r>
          </w:p>
        </w:tc>
        <w:tc>
          <w:tcPr>
            <w:tcW w:w="1843" w:type="dxa"/>
            <w:vAlign w:val="center"/>
          </w:tcPr>
          <w:p w:rsidR="00395DCC" w:rsidRPr="00E660F1" w:rsidRDefault="00395DCC" w:rsidP="003C0E5F">
            <w:pPr>
              <w:contextualSpacing/>
              <w:jc w:val="both"/>
              <w:rPr>
                <w:sz w:val="24"/>
                <w:szCs w:val="24"/>
              </w:rPr>
            </w:pPr>
            <w:r w:rsidRPr="00E660F1">
              <w:rPr>
                <w:sz w:val="24"/>
                <w:szCs w:val="24"/>
              </w:rPr>
              <w:t>57</w:t>
            </w:r>
          </w:p>
        </w:tc>
        <w:tc>
          <w:tcPr>
            <w:tcW w:w="1842" w:type="dxa"/>
            <w:vAlign w:val="center"/>
          </w:tcPr>
          <w:p w:rsidR="00395DCC" w:rsidRPr="00E660F1" w:rsidRDefault="00395DCC" w:rsidP="003C0E5F">
            <w:pPr>
              <w:contextualSpacing/>
              <w:jc w:val="both"/>
              <w:rPr>
                <w:sz w:val="24"/>
                <w:szCs w:val="24"/>
              </w:rPr>
            </w:pPr>
            <w:r w:rsidRPr="00E660F1">
              <w:rPr>
                <w:sz w:val="24"/>
                <w:szCs w:val="24"/>
              </w:rPr>
              <w:t>48</w:t>
            </w:r>
          </w:p>
        </w:tc>
        <w:tc>
          <w:tcPr>
            <w:tcW w:w="1701" w:type="dxa"/>
            <w:vAlign w:val="center"/>
          </w:tcPr>
          <w:p w:rsidR="00395DCC" w:rsidRPr="00E660F1" w:rsidRDefault="00395DCC" w:rsidP="003C0E5F">
            <w:pPr>
              <w:contextualSpacing/>
              <w:jc w:val="both"/>
              <w:rPr>
                <w:sz w:val="24"/>
                <w:szCs w:val="24"/>
              </w:rPr>
            </w:pPr>
            <w:r w:rsidRPr="00E660F1">
              <w:rPr>
                <w:sz w:val="24"/>
                <w:szCs w:val="24"/>
              </w:rPr>
              <w:t>143</w:t>
            </w:r>
          </w:p>
        </w:tc>
      </w:tr>
      <w:tr w:rsidR="00395DCC" w:rsidRPr="00E660F1" w:rsidTr="00395DCC">
        <w:tc>
          <w:tcPr>
            <w:tcW w:w="1733" w:type="dxa"/>
          </w:tcPr>
          <w:p w:rsidR="00395DCC" w:rsidRPr="00E660F1" w:rsidRDefault="00395DCC" w:rsidP="003C0E5F">
            <w:pPr>
              <w:contextualSpacing/>
              <w:jc w:val="both"/>
              <w:rPr>
                <w:b/>
                <w:sz w:val="24"/>
                <w:szCs w:val="24"/>
              </w:rPr>
            </w:pPr>
          </w:p>
        </w:tc>
        <w:tc>
          <w:tcPr>
            <w:tcW w:w="1701" w:type="dxa"/>
            <w:vAlign w:val="center"/>
          </w:tcPr>
          <w:p w:rsidR="00395DCC" w:rsidRPr="00E660F1" w:rsidRDefault="00395DCC" w:rsidP="003C0E5F">
            <w:pPr>
              <w:contextualSpacing/>
              <w:jc w:val="both"/>
              <w:rPr>
                <w:sz w:val="24"/>
                <w:szCs w:val="24"/>
              </w:rPr>
            </w:pPr>
            <w:r w:rsidRPr="00E660F1">
              <w:rPr>
                <w:sz w:val="24"/>
                <w:szCs w:val="24"/>
              </w:rPr>
              <w:t>16%</w:t>
            </w:r>
          </w:p>
        </w:tc>
        <w:tc>
          <w:tcPr>
            <w:tcW w:w="1843" w:type="dxa"/>
            <w:vAlign w:val="center"/>
          </w:tcPr>
          <w:p w:rsidR="00395DCC" w:rsidRPr="00E660F1" w:rsidRDefault="00395DCC" w:rsidP="003C0E5F">
            <w:pPr>
              <w:contextualSpacing/>
              <w:jc w:val="both"/>
              <w:rPr>
                <w:sz w:val="24"/>
                <w:szCs w:val="24"/>
              </w:rPr>
            </w:pPr>
            <w:r w:rsidRPr="00E660F1">
              <w:rPr>
                <w:sz w:val="24"/>
                <w:szCs w:val="24"/>
              </w:rPr>
              <w:t>20%</w:t>
            </w:r>
          </w:p>
        </w:tc>
        <w:tc>
          <w:tcPr>
            <w:tcW w:w="1842" w:type="dxa"/>
            <w:vAlign w:val="center"/>
          </w:tcPr>
          <w:p w:rsidR="00395DCC" w:rsidRPr="00E660F1" w:rsidRDefault="00395DCC" w:rsidP="003C0E5F">
            <w:pPr>
              <w:contextualSpacing/>
              <w:jc w:val="both"/>
              <w:rPr>
                <w:sz w:val="24"/>
                <w:szCs w:val="24"/>
              </w:rPr>
            </w:pPr>
            <w:r w:rsidRPr="00E660F1">
              <w:rPr>
                <w:sz w:val="24"/>
                <w:szCs w:val="24"/>
              </w:rPr>
              <w:t>16%</w:t>
            </w:r>
          </w:p>
        </w:tc>
        <w:tc>
          <w:tcPr>
            <w:tcW w:w="1701" w:type="dxa"/>
            <w:vAlign w:val="center"/>
          </w:tcPr>
          <w:p w:rsidR="00395DCC" w:rsidRPr="00E660F1" w:rsidRDefault="00395DCC" w:rsidP="003C0E5F">
            <w:pPr>
              <w:contextualSpacing/>
              <w:jc w:val="both"/>
              <w:rPr>
                <w:sz w:val="24"/>
                <w:szCs w:val="24"/>
              </w:rPr>
            </w:pPr>
            <w:r w:rsidRPr="00E660F1">
              <w:rPr>
                <w:sz w:val="24"/>
                <w:szCs w:val="24"/>
              </w:rPr>
              <w:t>48%</w:t>
            </w:r>
          </w:p>
        </w:tc>
      </w:tr>
      <w:tr w:rsidR="00395DCC" w:rsidRPr="00E660F1" w:rsidTr="00395DCC">
        <w:tc>
          <w:tcPr>
            <w:tcW w:w="1733" w:type="dxa"/>
          </w:tcPr>
          <w:p w:rsidR="00395DCC" w:rsidRPr="00E660F1" w:rsidRDefault="00395DCC" w:rsidP="003C0E5F">
            <w:pPr>
              <w:contextualSpacing/>
              <w:jc w:val="both"/>
              <w:rPr>
                <w:b/>
                <w:sz w:val="24"/>
                <w:szCs w:val="24"/>
              </w:rPr>
            </w:pPr>
            <w:r w:rsidRPr="00E660F1">
              <w:rPr>
                <w:b/>
                <w:sz w:val="24"/>
                <w:szCs w:val="24"/>
              </w:rPr>
              <w:t>2009 - 2010</w:t>
            </w:r>
          </w:p>
        </w:tc>
        <w:tc>
          <w:tcPr>
            <w:tcW w:w="1701" w:type="dxa"/>
            <w:vAlign w:val="center"/>
          </w:tcPr>
          <w:p w:rsidR="00395DCC" w:rsidRPr="00E660F1" w:rsidRDefault="00395DCC" w:rsidP="003C0E5F">
            <w:pPr>
              <w:contextualSpacing/>
              <w:jc w:val="both"/>
              <w:rPr>
                <w:sz w:val="24"/>
                <w:szCs w:val="24"/>
              </w:rPr>
            </w:pPr>
            <w:r w:rsidRPr="00E660F1">
              <w:rPr>
                <w:sz w:val="24"/>
                <w:szCs w:val="24"/>
              </w:rPr>
              <w:t>49</w:t>
            </w:r>
          </w:p>
        </w:tc>
        <w:tc>
          <w:tcPr>
            <w:tcW w:w="1843" w:type="dxa"/>
            <w:vAlign w:val="center"/>
          </w:tcPr>
          <w:p w:rsidR="00395DCC" w:rsidRPr="00E660F1" w:rsidRDefault="00395DCC" w:rsidP="003C0E5F">
            <w:pPr>
              <w:contextualSpacing/>
              <w:jc w:val="both"/>
              <w:rPr>
                <w:sz w:val="24"/>
                <w:szCs w:val="24"/>
              </w:rPr>
            </w:pPr>
            <w:r w:rsidRPr="00E660F1">
              <w:rPr>
                <w:sz w:val="24"/>
                <w:szCs w:val="24"/>
              </w:rPr>
              <w:t>62</w:t>
            </w:r>
          </w:p>
        </w:tc>
        <w:tc>
          <w:tcPr>
            <w:tcW w:w="1842" w:type="dxa"/>
            <w:vAlign w:val="center"/>
          </w:tcPr>
          <w:p w:rsidR="00395DCC" w:rsidRPr="00E660F1" w:rsidRDefault="00395DCC" w:rsidP="003C0E5F">
            <w:pPr>
              <w:contextualSpacing/>
              <w:jc w:val="both"/>
              <w:rPr>
                <w:sz w:val="24"/>
                <w:szCs w:val="24"/>
              </w:rPr>
            </w:pPr>
            <w:r w:rsidRPr="00E660F1">
              <w:rPr>
                <w:sz w:val="24"/>
                <w:szCs w:val="24"/>
              </w:rPr>
              <w:t>52</w:t>
            </w:r>
          </w:p>
        </w:tc>
        <w:tc>
          <w:tcPr>
            <w:tcW w:w="1701" w:type="dxa"/>
            <w:vAlign w:val="center"/>
          </w:tcPr>
          <w:p w:rsidR="00395DCC" w:rsidRPr="00E660F1" w:rsidRDefault="00395DCC" w:rsidP="003C0E5F">
            <w:pPr>
              <w:contextualSpacing/>
              <w:jc w:val="both"/>
              <w:rPr>
                <w:sz w:val="24"/>
                <w:szCs w:val="24"/>
              </w:rPr>
            </w:pPr>
            <w:r w:rsidRPr="00E660F1">
              <w:rPr>
                <w:sz w:val="24"/>
                <w:szCs w:val="24"/>
              </w:rPr>
              <w:t>153</w:t>
            </w:r>
          </w:p>
        </w:tc>
      </w:tr>
      <w:tr w:rsidR="00395DCC" w:rsidRPr="00E660F1" w:rsidTr="00395DCC">
        <w:tc>
          <w:tcPr>
            <w:tcW w:w="1733" w:type="dxa"/>
          </w:tcPr>
          <w:p w:rsidR="00395DCC" w:rsidRPr="00E660F1" w:rsidRDefault="00395DCC" w:rsidP="003C0E5F">
            <w:pPr>
              <w:contextualSpacing/>
              <w:jc w:val="both"/>
              <w:rPr>
                <w:b/>
                <w:sz w:val="24"/>
                <w:szCs w:val="24"/>
              </w:rPr>
            </w:pPr>
          </w:p>
        </w:tc>
        <w:tc>
          <w:tcPr>
            <w:tcW w:w="1701" w:type="dxa"/>
            <w:vAlign w:val="center"/>
          </w:tcPr>
          <w:p w:rsidR="00395DCC" w:rsidRPr="00E660F1" w:rsidRDefault="00395DCC" w:rsidP="003C0E5F">
            <w:pPr>
              <w:contextualSpacing/>
              <w:jc w:val="both"/>
              <w:rPr>
                <w:sz w:val="24"/>
                <w:szCs w:val="24"/>
              </w:rPr>
            </w:pPr>
            <w:r w:rsidRPr="00E660F1">
              <w:rPr>
                <w:sz w:val="24"/>
                <w:szCs w:val="24"/>
              </w:rPr>
              <w:t>16%</w:t>
            </w:r>
          </w:p>
        </w:tc>
        <w:tc>
          <w:tcPr>
            <w:tcW w:w="1843" w:type="dxa"/>
            <w:vAlign w:val="center"/>
          </w:tcPr>
          <w:p w:rsidR="00395DCC" w:rsidRPr="00E660F1" w:rsidRDefault="00395DCC" w:rsidP="003C0E5F">
            <w:pPr>
              <w:contextualSpacing/>
              <w:jc w:val="both"/>
              <w:rPr>
                <w:sz w:val="24"/>
                <w:szCs w:val="24"/>
              </w:rPr>
            </w:pPr>
            <w:r w:rsidRPr="00E660F1">
              <w:rPr>
                <w:sz w:val="24"/>
                <w:szCs w:val="24"/>
              </w:rPr>
              <w:t>20%</w:t>
            </w:r>
          </w:p>
        </w:tc>
        <w:tc>
          <w:tcPr>
            <w:tcW w:w="1842" w:type="dxa"/>
            <w:vAlign w:val="center"/>
          </w:tcPr>
          <w:p w:rsidR="00395DCC" w:rsidRPr="00E660F1" w:rsidRDefault="00395DCC" w:rsidP="003C0E5F">
            <w:pPr>
              <w:contextualSpacing/>
              <w:jc w:val="both"/>
              <w:rPr>
                <w:sz w:val="24"/>
                <w:szCs w:val="24"/>
              </w:rPr>
            </w:pPr>
            <w:r w:rsidRPr="00E660F1">
              <w:rPr>
                <w:sz w:val="24"/>
                <w:szCs w:val="24"/>
              </w:rPr>
              <w:t>16%</w:t>
            </w:r>
          </w:p>
        </w:tc>
        <w:tc>
          <w:tcPr>
            <w:tcW w:w="1701" w:type="dxa"/>
            <w:vAlign w:val="center"/>
          </w:tcPr>
          <w:p w:rsidR="00395DCC" w:rsidRPr="00E660F1" w:rsidRDefault="00395DCC" w:rsidP="003C0E5F">
            <w:pPr>
              <w:contextualSpacing/>
              <w:jc w:val="both"/>
              <w:rPr>
                <w:sz w:val="24"/>
                <w:szCs w:val="24"/>
              </w:rPr>
            </w:pPr>
            <w:r w:rsidRPr="00E660F1">
              <w:rPr>
                <w:sz w:val="24"/>
                <w:szCs w:val="24"/>
              </w:rPr>
              <w:t>48%</w:t>
            </w:r>
          </w:p>
        </w:tc>
      </w:tr>
      <w:tr w:rsidR="00395DCC" w:rsidRPr="00E660F1" w:rsidTr="00395DCC">
        <w:tc>
          <w:tcPr>
            <w:tcW w:w="1733" w:type="dxa"/>
          </w:tcPr>
          <w:p w:rsidR="00395DCC" w:rsidRPr="00E660F1" w:rsidRDefault="00395DCC" w:rsidP="003C0E5F">
            <w:pPr>
              <w:contextualSpacing/>
              <w:jc w:val="both"/>
              <w:rPr>
                <w:b/>
                <w:sz w:val="24"/>
                <w:szCs w:val="24"/>
              </w:rPr>
            </w:pPr>
            <w:r w:rsidRPr="00E660F1">
              <w:rPr>
                <w:b/>
                <w:sz w:val="24"/>
                <w:szCs w:val="24"/>
              </w:rPr>
              <w:t>2008 - 2009</w:t>
            </w:r>
          </w:p>
        </w:tc>
        <w:tc>
          <w:tcPr>
            <w:tcW w:w="1701" w:type="dxa"/>
            <w:vAlign w:val="center"/>
          </w:tcPr>
          <w:p w:rsidR="00395DCC" w:rsidRPr="00E660F1" w:rsidRDefault="00395DCC" w:rsidP="003C0E5F">
            <w:pPr>
              <w:contextualSpacing/>
              <w:jc w:val="both"/>
              <w:rPr>
                <w:sz w:val="24"/>
                <w:szCs w:val="24"/>
              </w:rPr>
            </w:pPr>
            <w:r w:rsidRPr="00E660F1">
              <w:rPr>
                <w:sz w:val="24"/>
                <w:szCs w:val="24"/>
              </w:rPr>
              <w:t>52</w:t>
            </w:r>
          </w:p>
        </w:tc>
        <w:tc>
          <w:tcPr>
            <w:tcW w:w="1843" w:type="dxa"/>
            <w:vAlign w:val="center"/>
          </w:tcPr>
          <w:p w:rsidR="00395DCC" w:rsidRPr="00E660F1" w:rsidRDefault="00395DCC" w:rsidP="003C0E5F">
            <w:pPr>
              <w:contextualSpacing/>
              <w:jc w:val="both"/>
              <w:rPr>
                <w:sz w:val="24"/>
                <w:szCs w:val="24"/>
              </w:rPr>
            </w:pPr>
            <w:r w:rsidRPr="00E660F1">
              <w:rPr>
                <w:sz w:val="24"/>
                <w:szCs w:val="24"/>
              </w:rPr>
              <w:t>60</w:t>
            </w:r>
          </w:p>
        </w:tc>
        <w:tc>
          <w:tcPr>
            <w:tcW w:w="1842" w:type="dxa"/>
            <w:vAlign w:val="center"/>
          </w:tcPr>
          <w:p w:rsidR="00395DCC" w:rsidRPr="00E660F1" w:rsidRDefault="00395DCC" w:rsidP="003C0E5F">
            <w:pPr>
              <w:contextualSpacing/>
              <w:jc w:val="both"/>
              <w:rPr>
                <w:sz w:val="24"/>
                <w:szCs w:val="24"/>
              </w:rPr>
            </w:pPr>
            <w:r w:rsidRPr="00E660F1">
              <w:rPr>
                <w:sz w:val="24"/>
                <w:szCs w:val="24"/>
              </w:rPr>
              <w:t>47</w:t>
            </w:r>
          </w:p>
        </w:tc>
        <w:tc>
          <w:tcPr>
            <w:tcW w:w="1701" w:type="dxa"/>
            <w:vAlign w:val="center"/>
          </w:tcPr>
          <w:p w:rsidR="00395DCC" w:rsidRPr="00E660F1" w:rsidRDefault="00395DCC" w:rsidP="003C0E5F">
            <w:pPr>
              <w:contextualSpacing/>
              <w:jc w:val="both"/>
              <w:rPr>
                <w:sz w:val="24"/>
                <w:szCs w:val="24"/>
              </w:rPr>
            </w:pPr>
            <w:r w:rsidRPr="00E660F1">
              <w:rPr>
                <w:sz w:val="24"/>
                <w:szCs w:val="24"/>
              </w:rPr>
              <w:t>143</w:t>
            </w:r>
          </w:p>
        </w:tc>
      </w:tr>
      <w:tr w:rsidR="00395DCC" w:rsidRPr="00E660F1" w:rsidTr="00395DCC">
        <w:tc>
          <w:tcPr>
            <w:tcW w:w="1733" w:type="dxa"/>
          </w:tcPr>
          <w:p w:rsidR="00395DCC" w:rsidRPr="00E660F1" w:rsidRDefault="00395DCC" w:rsidP="003C0E5F">
            <w:pPr>
              <w:contextualSpacing/>
              <w:jc w:val="both"/>
              <w:rPr>
                <w:sz w:val="24"/>
                <w:szCs w:val="24"/>
              </w:rPr>
            </w:pPr>
          </w:p>
        </w:tc>
        <w:tc>
          <w:tcPr>
            <w:tcW w:w="1701" w:type="dxa"/>
            <w:vAlign w:val="center"/>
          </w:tcPr>
          <w:p w:rsidR="00395DCC" w:rsidRPr="00E660F1" w:rsidRDefault="00395DCC" w:rsidP="003C0E5F">
            <w:pPr>
              <w:contextualSpacing/>
              <w:jc w:val="both"/>
              <w:rPr>
                <w:sz w:val="24"/>
                <w:szCs w:val="24"/>
              </w:rPr>
            </w:pPr>
            <w:r w:rsidRPr="00E660F1">
              <w:rPr>
                <w:sz w:val="24"/>
                <w:szCs w:val="24"/>
              </w:rPr>
              <w:t>17%</w:t>
            </w:r>
          </w:p>
        </w:tc>
        <w:tc>
          <w:tcPr>
            <w:tcW w:w="1843" w:type="dxa"/>
            <w:vAlign w:val="center"/>
          </w:tcPr>
          <w:p w:rsidR="00395DCC" w:rsidRPr="00E660F1" w:rsidRDefault="00395DCC" w:rsidP="003C0E5F">
            <w:pPr>
              <w:contextualSpacing/>
              <w:jc w:val="both"/>
              <w:rPr>
                <w:sz w:val="24"/>
                <w:szCs w:val="24"/>
              </w:rPr>
            </w:pPr>
            <w:r w:rsidRPr="00E660F1">
              <w:rPr>
                <w:sz w:val="24"/>
                <w:szCs w:val="24"/>
              </w:rPr>
              <w:t>20%</w:t>
            </w:r>
          </w:p>
        </w:tc>
        <w:tc>
          <w:tcPr>
            <w:tcW w:w="1842" w:type="dxa"/>
            <w:vAlign w:val="center"/>
          </w:tcPr>
          <w:p w:rsidR="00395DCC" w:rsidRPr="00E660F1" w:rsidRDefault="00395DCC" w:rsidP="003C0E5F">
            <w:pPr>
              <w:contextualSpacing/>
              <w:jc w:val="both"/>
              <w:rPr>
                <w:sz w:val="24"/>
                <w:szCs w:val="24"/>
              </w:rPr>
            </w:pPr>
            <w:r w:rsidRPr="00E660F1">
              <w:rPr>
                <w:sz w:val="24"/>
                <w:szCs w:val="24"/>
              </w:rPr>
              <w:t>16%</w:t>
            </w:r>
          </w:p>
        </w:tc>
        <w:tc>
          <w:tcPr>
            <w:tcW w:w="1701" w:type="dxa"/>
            <w:vAlign w:val="center"/>
          </w:tcPr>
          <w:p w:rsidR="00395DCC" w:rsidRPr="00E660F1" w:rsidRDefault="00395DCC" w:rsidP="003C0E5F">
            <w:pPr>
              <w:contextualSpacing/>
              <w:jc w:val="both"/>
              <w:rPr>
                <w:sz w:val="24"/>
                <w:szCs w:val="24"/>
              </w:rPr>
            </w:pPr>
            <w:r w:rsidRPr="00E660F1">
              <w:rPr>
                <w:sz w:val="24"/>
                <w:szCs w:val="24"/>
              </w:rPr>
              <w:t>47%</w:t>
            </w:r>
          </w:p>
        </w:tc>
      </w:tr>
    </w:tbl>
    <w:p w:rsidR="00E660F1" w:rsidRPr="00E660F1" w:rsidRDefault="00E660F1" w:rsidP="003C0E5F">
      <w:pPr>
        <w:spacing w:line="240" w:lineRule="auto"/>
        <w:contextualSpacing/>
        <w:jc w:val="both"/>
      </w:pPr>
    </w:p>
    <w:p w:rsidR="00E660F1" w:rsidRPr="00E660F1" w:rsidRDefault="00E660F1" w:rsidP="003C0E5F">
      <w:pPr>
        <w:spacing w:line="240" w:lineRule="auto"/>
        <w:contextualSpacing/>
        <w:jc w:val="both"/>
        <w:rPr>
          <w:sz w:val="24"/>
          <w:szCs w:val="24"/>
        </w:rPr>
      </w:pPr>
    </w:p>
    <w:p w:rsidR="00E660F1" w:rsidRPr="003C0E5F" w:rsidRDefault="00E660F1" w:rsidP="003C0E5F">
      <w:pPr>
        <w:spacing w:line="240" w:lineRule="auto"/>
        <w:contextualSpacing/>
        <w:jc w:val="both"/>
      </w:pPr>
      <w:r w:rsidRPr="003C0E5F">
        <w:t>Historically the College gender profile has remained stable with a larger number of female employees year on year</w:t>
      </w:r>
      <w:r w:rsidR="00854F28">
        <w:t xml:space="preserve"> in comparison to males. In 2011-2012 there were 223 (69.5%) female employment contracts and 98 (30.5%) male contracts</w:t>
      </w:r>
      <w:r w:rsidRPr="003C0E5F">
        <w:t>. The greatest differential is in Part Time working where there is a significant difference in numbers. Overall in 201</w:t>
      </w:r>
      <w:r w:rsidR="00536F71">
        <w:t>1</w:t>
      </w:r>
      <w:r w:rsidRPr="003C0E5F">
        <w:t>-201</w:t>
      </w:r>
      <w:r w:rsidR="00536F71">
        <w:t>2</w:t>
      </w:r>
      <w:r w:rsidRPr="003C0E5F">
        <w:t xml:space="preserve"> the College employed </w:t>
      </w:r>
      <w:r w:rsidR="00536F71">
        <w:t xml:space="preserve">almost </w:t>
      </w:r>
      <w:r w:rsidR="00854F28">
        <w:t xml:space="preserve">43% </w:t>
      </w:r>
      <w:r w:rsidRPr="003C0E5F">
        <w:t xml:space="preserve">females across PT work compared to </w:t>
      </w:r>
      <w:r w:rsidR="00854F28">
        <w:t xml:space="preserve">almost 10% </w:t>
      </w:r>
      <w:r w:rsidRPr="003C0E5F">
        <w:t xml:space="preserve">males. The national data shows a relatively even gender balance with a workforce of 49.3% of females across FT and PT work and 50.7% of males.  </w:t>
      </w:r>
    </w:p>
    <w:p w:rsidR="00E660F1" w:rsidRPr="00E660F1" w:rsidRDefault="00E660F1" w:rsidP="003C0E5F">
      <w:pPr>
        <w:spacing w:line="240" w:lineRule="auto"/>
        <w:ind w:left="360"/>
        <w:contextualSpacing/>
        <w:jc w:val="both"/>
        <w:rPr>
          <w:sz w:val="24"/>
          <w:szCs w:val="24"/>
        </w:rPr>
      </w:pPr>
    </w:p>
    <w:p w:rsidR="00E660F1" w:rsidRPr="00E660F1" w:rsidRDefault="00E660F1" w:rsidP="003C0E5F">
      <w:pPr>
        <w:spacing w:line="240" w:lineRule="auto"/>
        <w:ind w:left="360"/>
        <w:contextualSpacing/>
        <w:jc w:val="both"/>
        <w:rPr>
          <w:b/>
          <w:sz w:val="24"/>
          <w:szCs w:val="24"/>
        </w:rPr>
      </w:pPr>
      <w:r w:rsidRPr="00E660F1">
        <w:rPr>
          <w:b/>
          <w:sz w:val="24"/>
          <w:szCs w:val="24"/>
        </w:rPr>
        <w:t>ETHNICITY PROFILE</w:t>
      </w:r>
    </w:p>
    <w:tbl>
      <w:tblPr>
        <w:tblStyle w:val="TableGrid1"/>
        <w:tblW w:w="8532" w:type="dxa"/>
        <w:tblInd w:w="360" w:type="dxa"/>
        <w:tblLook w:val="04A0" w:firstRow="1" w:lastRow="0" w:firstColumn="1" w:lastColumn="0" w:noHBand="0" w:noVBand="1"/>
      </w:tblPr>
      <w:tblGrid>
        <w:gridCol w:w="1422"/>
        <w:gridCol w:w="1422"/>
        <w:gridCol w:w="1422"/>
        <w:gridCol w:w="1422"/>
        <w:gridCol w:w="1573"/>
        <w:gridCol w:w="1271"/>
      </w:tblGrid>
      <w:tr w:rsidR="00395DCC" w:rsidRPr="00E660F1" w:rsidTr="00395DCC">
        <w:tc>
          <w:tcPr>
            <w:tcW w:w="1422" w:type="dxa"/>
            <w:vAlign w:val="center"/>
          </w:tcPr>
          <w:p w:rsidR="00395DCC" w:rsidRPr="00590DC1" w:rsidRDefault="00395DCC" w:rsidP="003C0E5F">
            <w:pPr>
              <w:contextualSpacing/>
              <w:jc w:val="both"/>
              <w:rPr>
                <w:rFonts w:cstheme="minorHAnsi"/>
                <w:b/>
                <w:sz w:val="24"/>
                <w:szCs w:val="24"/>
              </w:rPr>
            </w:pPr>
            <w:r w:rsidRPr="00590DC1">
              <w:rPr>
                <w:rFonts w:cstheme="minorHAnsi"/>
                <w:b/>
                <w:sz w:val="24"/>
                <w:szCs w:val="24"/>
              </w:rPr>
              <w:t>Year</w:t>
            </w:r>
          </w:p>
        </w:tc>
        <w:tc>
          <w:tcPr>
            <w:tcW w:w="1422" w:type="dxa"/>
            <w:vAlign w:val="center"/>
          </w:tcPr>
          <w:p w:rsidR="00395DCC" w:rsidRPr="00590DC1" w:rsidRDefault="00395DCC" w:rsidP="003C0E5F">
            <w:pPr>
              <w:contextualSpacing/>
              <w:jc w:val="both"/>
              <w:rPr>
                <w:rFonts w:cstheme="minorHAnsi"/>
                <w:b/>
                <w:sz w:val="24"/>
                <w:szCs w:val="24"/>
              </w:rPr>
            </w:pPr>
            <w:r w:rsidRPr="00590DC1">
              <w:rPr>
                <w:rFonts w:cstheme="minorHAnsi"/>
                <w:b/>
                <w:sz w:val="24"/>
                <w:szCs w:val="24"/>
              </w:rPr>
              <w:t>White British</w:t>
            </w:r>
          </w:p>
        </w:tc>
        <w:tc>
          <w:tcPr>
            <w:tcW w:w="1422" w:type="dxa"/>
            <w:vAlign w:val="center"/>
          </w:tcPr>
          <w:p w:rsidR="00395DCC" w:rsidRPr="00590DC1" w:rsidRDefault="00395DCC" w:rsidP="003C0E5F">
            <w:pPr>
              <w:contextualSpacing/>
              <w:jc w:val="both"/>
              <w:rPr>
                <w:rFonts w:cstheme="minorHAnsi"/>
                <w:b/>
                <w:sz w:val="24"/>
                <w:szCs w:val="24"/>
              </w:rPr>
            </w:pPr>
            <w:r w:rsidRPr="00590DC1">
              <w:rPr>
                <w:rFonts w:cstheme="minorHAnsi"/>
                <w:b/>
                <w:sz w:val="24"/>
                <w:szCs w:val="24"/>
              </w:rPr>
              <w:t>Asian</w:t>
            </w:r>
          </w:p>
        </w:tc>
        <w:tc>
          <w:tcPr>
            <w:tcW w:w="1422" w:type="dxa"/>
            <w:vAlign w:val="center"/>
          </w:tcPr>
          <w:p w:rsidR="00395DCC" w:rsidRPr="00590DC1" w:rsidRDefault="00395DCC" w:rsidP="003C0E5F">
            <w:pPr>
              <w:contextualSpacing/>
              <w:jc w:val="both"/>
              <w:rPr>
                <w:rFonts w:cstheme="minorHAnsi"/>
                <w:b/>
                <w:sz w:val="24"/>
                <w:szCs w:val="24"/>
              </w:rPr>
            </w:pPr>
            <w:r w:rsidRPr="00590DC1">
              <w:rPr>
                <w:rFonts w:cstheme="minorHAnsi"/>
                <w:b/>
                <w:sz w:val="24"/>
                <w:szCs w:val="24"/>
              </w:rPr>
              <w:t>Black</w:t>
            </w:r>
          </w:p>
        </w:tc>
        <w:tc>
          <w:tcPr>
            <w:tcW w:w="1573" w:type="dxa"/>
            <w:vAlign w:val="center"/>
          </w:tcPr>
          <w:p w:rsidR="00395DCC" w:rsidRDefault="00395DCC" w:rsidP="00395DCC">
            <w:pPr>
              <w:contextualSpacing/>
              <w:jc w:val="both"/>
              <w:rPr>
                <w:rFonts w:cstheme="minorHAnsi"/>
                <w:b/>
                <w:sz w:val="24"/>
                <w:szCs w:val="24"/>
              </w:rPr>
            </w:pPr>
            <w:r w:rsidRPr="00590DC1">
              <w:rPr>
                <w:rFonts w:cstheme="minorHAnsi"/>
                <w:b/>
                <w:sz w:val="24"/>
                <w:szCs w:val="24"/>
              </w:rPr>
              <w:t xml:space="preserve">White </w:t>
            </w:r>
          </w:p>
          <w:p w:rsidR="00395DCC" w:rsidRPr="00590DC1" w:rsidRDefault="00395DCC" w:rsidP="00395DCC">
            <w:pPr>
              <w:contextualSpacing/>
              <w:jc w:val="both"/>
              <w:rPr>
                <w:rFonts w:cstheme="minorHAnsi"/>
                <w:b/>
                <w:sz w:val="24"/>
                <w:szCs w:val="24"/>
              </w:rPr>
            </w:pPr>
            <w:r w:rsidRPr="00590DC1">
              <w:rPr>
                <w:rFonts w:cstheme="minorHAnsi"/>
                <w:b/>
                <w:sz w:val="24"/>
                <w:szCs w:val="24"/>
              </w:rPr>
              <w:t>Other</w:t>
            </w:r>
          </w:p>
        </w:tc>
        <w:tc>
          <w:tcPr>
            <w:tcW w:w="1271" w:type="dxa"/>
            <w:vAlign w:val="center"/>
          </w:tcPr>
          <w:p w:rsidR="00395DCC" w:rsidRPr="00590DC1" w:rsidRDefault="00395DCC" w:rsidP="003C0E5F">
            <w:pPr>
              <w:contextualSpacing/>
              <w:jc w:val="both"/>
              <w:rPr>
                <w:rFonts w:cstheme="minorHAnsi"/>
                <w:b/>
                <w:sz w:val="24"/>
                <w:szCs w:val="24"/>
              </w:rPr>
            </w:pPr>
            <w:r w:rsidRPr="00590DC1">
              <w:rPr>
                <w:rFonts w:cstheme="minorHAnsi"/>
                <w:b/>
                <w:sz w:val="24"/>
                <w:szCs w:val="24"/>
              </w:rPr>
              <w:t>Unknown</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r w:rsidRPr="00590DC1">
              <w:rPr>
                <w:rFonts w:cstheme="minorHAnsi"/>
                <w:b/>
                <w:sz w:val="24"/>
                <w:szCs w:val="24"/>
              </w:rPr>
              <w:t>2011 -2012</w:t>
            </w:r>
          </w:p>
        </w:tc>
        <w:tc>
          <w:tcPr>
            <w:tcW w:w="1422" w:type="dxa"/>
            <w:vAlign w:val="center"/>
          </w:tcPr>
          <w:p w:rsidR="00395DCC" w:rsidRPr="00590DC1" w:rsidRDefault="00395DCC" w:rsidP="00590DC1">
            <w:pPr>
              <w:contextualSpacing/>
              <w:jc w:val="both"/>
              <w:rPr>
                <w:rFonts w:cstheme="minorHAnsi"/>
                <w:sz w:val="24"/>
                <w:szCs w:val="24"/>
              </w:rPr>
            </w:pPr>
            <w:r w:rsidRPr="00590DC1">
              <w:rPr>
                <w:rFonts w:cstheme="minorHAnsi"/>
                <w:sz w:val="24"/>
                <w:szCs w:val="24"/>
              </w:rPr>
              <w:t>29</w:t>
            </w:r>
            <w:r>
              <w:rPr>
                <w:rFonts w:cstheme="minorHAnsi"/>
                <w:sz w:val="24"/>
                <w:szCs w:val="24"/>
              </w:rPr>
              <w:t>2</w:t>
            </w:r>
          </w:p>
        </w:tc>
        <w:tc>
          <w:tcPr>
            <w:tcW w:w="1422" w:type="dxa"/>
            <w:vAlign w:val="center"/>
          </w:tcPr>
          <w:p w:rsidR="00395DCC" w:rsidRPr="00590DC1" w:rsidRDefault="00395DCC" w:rsidP="00590DC1">
            <w:pPr>
              <w:contextualSpacing/>
              <w:jc w:val="both"/>
              <w:rPr>
                <w:rFonts w:cstheme="minorHAnsi"/>
                <w:sz w:val="24"/>
                <w:szCs w:val="24"/>
              </w:rPr>
            </w:pPr>
            <w:r>
              <w:rPr>
                <w:rFonts w:cstheme="minorHAnsi"/>
                <w:sz w:val="24"/>
                <w:szCs w:val="24"/>
              </w:rPr>
              <w:t>2</w:t>
            </w:r>
          </w:p>
        </w:tc>
        <w:tc>
          <w:tcPr>
            <w:tcW w:w="1422" w:type="dxa"/>
            <w:vAlign w:val="center"/>
          </w:tcPr>
          <w:p w:rsidR="00395DCC" w:rsidRPr="00590DC1" w:rsidRDefault="00395DCC" w:rsidP="003C0E5F">
            <w:pPr>
              <w:contextualSpacing/>
              <w:jc w:val="both"/>
              <w:rPr>
                <w:rFonts w:cstheme="minorHAnsi"/>
                <w:sz w:val="24"/>
                <w:szCs w:val="24"/>
              </w:rPr>
            </w:pPr>
            <w:r>
              <w:rPr>
                <w:rFonts w:cstheme="minorHAnsi"/>
                <w:sz w:val="24"/>
                <w:szCs w:val="24"/>
              </w:rPr>
              <w:t>7</w:t>
            </w:r>
          </w:p>
        </w:tc>
        <w:tc>
          <w:tcPr>
            <w:tcW w:w="1573" w:type="dxa"/>
            <w:vAlign w:val="center"/>
          </w:tcPr>
          <w:p w:rsidR="00395DCC" w:rsidRPr="00590DC1" w:rsidRDefault="00395DCC" w:rsidP="00590DC1">
            <w:pPr>
              <w:contextualSpacing/>
              <w:jc w:val="both"/>
              <w:rPr>
                <w:rFonts w:cstheme="minorHAnsi"/>
                <w:sz w:val="24"/>
                <w:szCs w:val="24"/>
              </w:rPr>
            </w:pPr>
            <w:r w:rsidRPr="00590DC1">
              <w:rPr>
                <w:rFonts w:cstheme="minorHAnsi"/>
                <w:sz w:val="24"/>
                <w:szCs w:val="24"/>
              </w:rPr>
              <w:t>1</w:t>
            </w:r>
            <w:r>
              <w:rPr>
                <w:rFonts w:cstheme="minorHAnsi"/>
                <w:sz w:val="24"/>
                <w:szCs w:val="24"/>
              </w:rPr>
              <w:t>9</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p>
        </w:tc>
        <w:tc>
          <w:tcPr>
            <w:tcW w:w="1422" w:type="dxa"/>
            <w:vAlign w:val="center"/>
          </w:tcPr>
          <w:p w:rsidR="00395DCC" w:rsidRPr="00590DC1" w:rsidRDefault="00395DCC" w:rsidP="003C0E5F">
            <w:pPr>
              <w:contextualSpacing/>
              <w:jc w:val="both"/>
              <w:rPr>
                <w:rFonts w:cstheme="minorHAnsi"/>
                <w:sz w:val="24"/>
                <w:szCs w:val="24"/>
              </w:rPr>
            </w:pPr>
            <w:r>
              <w:rPr>
                <w:rFonts w:cstheme="minorHAnsi"/>
                <w:sz w:val="24"/>
                <w:szCs w:val="24"/>
              </w:rPr>
              <w:t>91%</w:t>
            </w:r>
          </w:p>
        </w:tc>
        <w:tc>
          <w:tcPr>
            <w:tcW w:w="1422" w:type="dxa"/>
            <w:vAlign w:val="center"/>
          </w:tcPr>
          <w:p w:rsidR="00395DCC" w:rsidRPr="00590DC1" w:rsidRDefault="00395DCC" w:rsidP="003C0E5F">
            <w:pPr>
              <w:contextualSpacing/>
              <w:jc w:val="both"/>
              <w:rPr>
                <w:rFonts w:cstheme="minorHAnsi"/>
                <w:sz w:val="24"/>
                <w:szCs w:val="24"/>
              </w:rPr>
            </w:pPr>
            <w:r>
              <w:rPr>
                <w:rFonts w:cstheme="minorHAnsi"/>
                <w:sz w:val="24"/>
                <w:szCs w:val="24"/>
              </w:rPr>
              <w:t>0.6%</w:t>
            </w:r>
          </w:p>
        </w:tc>
        <w:tc>
          <w:tcPr>
            <w:tcW w:w="1422" w:type="dxa"/>
            <w:vAlign w:val="center"/>
          </w:tcPr>
          <w:p w:rsidR="00395DCC" w:rsidRPr="00590DC1" w:rsidRDefault="00395DCC" w:rsidP="003C0E5F">
            <w:pPr>
              <w:contextualSpacing/>
              <w:jc w:val="both"/>
              <w:rPr>
                <w:rFonts w:cstheme="minorHAnsi"/>
                <w:sz w:val="24"/>
                <w:szCs w:val="24"/>
              </w:rPr>
            </w:pPr>
            <w:r>
              <w:rPr>
                <w:rFonts w:cstheme="minorHAnsi"/>
                <w:sz w:val="24"/>
                <w:szCs w:val="24"/>
              </w:rPr>
              <w:t>2.2%</w:t>
            </w:r>
          </w:p>
        </w:tc>
        <w:tc>
          <w:tcPr>
            <w:tcW w:w="1573" w:type="dxa"/>
            <w:vAlign w:val="center"/>
          </w:tcPr>
          <w:p w:rsidR="00395DCC" w:rsidRPr="00590DC1" w:rsidRDefault="00395DCC" w:rsidP="003C0E5F">
            <w:pPr>
              <w:contextualSpacing/>
              <w:jc w:val="both"/>
              <w:rPr>
                <w:rFonts w:cstheme="minorHAnsi"/>
                <w:sz w:val="24"/>
                <w:szCs w:val="24"/>
              </w:rPr>
            </w:pPr>
            <w:r>
              <w:rPr>
                <w:rFonts w:cstheme="minorHAnsi"/>
                <w:sz w:val="24"/>
                <w:szCs w:val="24"/>
              </w:rPr>
              <w:t>5.9%</w:t>
            </w:r>
          </w:p>
        </w:tc>
        <w:tc>
          <w:tcPr>
            <w:tcW w:w="1271" w:type="dxa"/>
            <w:vAlign w:val="center"/>
          </w:tcPr>
          <w:p w:rsidR="00395DCC" w:rsidRPr="00590DC1" w:rsidRDefault="00395DCC" w:rsidP="003C0E5F">
            <w:pPr>
              <w:contextualSpacing/>
              <w:jc w:val="both"/>
              <w:rPr>
                <w:rFonts w:cstheme="minorHAnsi"/>
                <w:sz w:val="24"/>
                <w:szCs w:val="24"/>
              </w:rPr>
            </w:pPr>
            <w:r>
              <w:rPr>
                <w:rFonts w:cstheme="minorHAnsi"/>
                <w:sz w:val="24"/>
                <w:szCs w:val="24"/>
              </w:rPr>
              <w:t>0.3%</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r w:rsidRPr="00590DC1">
              <w:rPr>
                <w:rFonts w:cstheme="minorHAnsi"/>
                <w:b/>
                <w:sz w:val="24"/>
                <w:szCs w:val="24"/>
              </w:rPr>
              <w:t>2010 -2011</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267</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4</w:t>
            </w:r>
          </w:p>
        </w:tc>
        <w:tc>
          <w:tcPr>
            <w:tcW w:w="1573"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19</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3</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90.5%</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0.7%</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1.4%</w:t>
            </w:r>
          </w:p>
        </w:tc>
        <w:tc>
          <w:tcPr>
            <w:tcW w:w="1573"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6.4%</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r w:rsidRPr="00590DC1">
              <w:rPr>
                <w:rFonts w:cstheme="minorHAnsi"/>
                <w:b/>
                <w:sz w:val="24"/>
                <w:szCs w:val="24"/>
              </w:rPr>
              <w:t>2009 - 2010</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284</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3</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5</w:t>
            </w:r>
          </w:p>
        </w:tc>
        <w:tc>
          <w:tcPr>
            <w:tcW w:w="1573"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19</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5</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89.9%</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0.9%</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1.6%</w:t>
            </w:r>
          </w:p>
        </w:tc>
        <w:tc>
          <w:tcPr>
            <w:tcW w:w="1573"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6%</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1.6%</w:t>
            </w:r>
          </w:p>
        </w:tc>
      </w:tr>
      <w:tr w:rsidR="00395DCC" w:rsidRPr="00E660F1" w:rsidTr="00395DCC">
        <w:tc>
          <w:tcPr>
            <w:tcW w:w="1422" w:type="dxa"/>
          </w:tcPr>
          <w:p w:rsidR="00395DCC" w:rsidRPr="00590DC1" w:rsidRDefault="00395DCC" w:rsidP="003C0E5F">
            <w:pPr>
              <w:contextualSpacing/>
              <w:jc w:val="both"/>
              <w:rPr>
                <w:rFonts w:cstheme="minorHAnsi"/>
                <w:b/>
                <w:sz w:val="24"/>
                <w:szCs w:val="24"/>
              </w:rPr>
            </w:pPr>
            <w:r w:rsidRPr="00590DC1">
              <w:rPr>
                <w:rFonts w:cstheme="minorHAnsi"/>
                <w:b/>
                <w:sz w:val="24"/>
                <w:szCs w:val="24"/>
              </w:rPr>
              <w:t>2008 - 2009</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271</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6</w:t>
            </w:r>
          </w:p>
        </w:tc>
        <w:tc>
          <w:tcPr>
            <w:tcW w:w="1573"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20</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3</w:t>
            </w:r>
          </w:p>
        </w:tc>
      </w:tr>
      <w:tr w:rsidR="00395DCC" w:rsidRPr="00E660F1" w:rsidTr="00395DCC">
        <w:tc>
          <w:tcPr>
            <w:tcW w:w="1422" w:type="dxa"/>
          </w:tcPr>
          <w:p w:rsidR="00395DCC" w:rsidRPr="00590DC1" w:rsidRDefault="00395DCC" w:rsidP="003C0E5F">
            <w:pPr>
              <w:contextualSpacing/>
              <w:jc w:val="both"/>
              <w:rPr>
                <w:rFonts w:cstheme="minorHAnsi"/>
                <w:sz w:val="24"/>
                <w:szCs w:val="24"/>
              </w:rPr>
            </w:pP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89.7%</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0.7%</w:t>
            </w:r>
          </w:p>
        </w:tc>
        <w:tc>
          <w:tcPr>
            <w:tcW w:w="1422"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2%</w:t>
            </w:r>
          </w:p>
        </w:tc>
        <w:tc>
          <w:tcPr>
            <w:tcW w:w="1573"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6.6%</w:t>
            </w:r>
          </w:p>
        </w:tc>
        <w:tc>
          <w:tcPr>
            <w:tcW w:w="1271" w:type="dxa"/>
            <w:vAlign w:val="center"/>
          </w:tcPr>
          <w:p w:rsidR="00395DCC" w:rsidRPr="00590DC1" w:rsidRDefault="00395DCC" w:rsidP="003C0E5F">
            <w:pPr>
              <w:contextualSpacing/>
              <w:jc w:val="both"/>
              <w:rPr>
                <w:rFonts w:cstheme="minorHAnsi"/>
                <w:sz w:val="24"/>
                <w:szCs w:val="24"/>
              </w:rPr>
            </w:pPr>
            <w:r w:rsidRPr="00590DC1">
              <w:rPr>
                <w:rFonts w:cstheme="minorHAnsi"/>
                <w:sz w:val="24"/>
                <w:szCs w:val="24"/>
              </w:rPr>
              <w:t>1%</w:t>
            </w:r>
          </w:p>
        </w:tc>
      </w:tr>
    </w:tbl>
    <w:p w:rsidR="00E660F1" w:rsidRPr="00E660F1" w:rsidRDefault="00E660F1" w:rsidP="003C0E5F">
      <w:pPr>
        <w:spacing w:line="240" w:lineRule="auto"/>
        <w:ind w:left="360"/>
        <w:contextualSpacing/>
        <w:jc w:val="both"/>
        <w:rPr>
          <w:sz w:val="24"/>
          <w:szCs w:val="24"/>
        </w:rPr>
      </w:pPr>
    </w:p>
    <w:p w:rsidR="00E660F1" w:rsidRPr="00854F28" w:rsidRDefault="00E660F1" w:rsidP="00395DCC">
      <w:pPr>
        <w:spacing w:line="240" w:lineRule="auto"/>
        <w:contextualSpacing/>
        <w:jc w:val="both"/>
      </w:pPr>
      <w:r w:rsidRPr="00854F28">
        <w:t>Historically the College ethnicity profile has remained unchanged with the greatest proportion of employees (</w:t>
      </w:r>
      <w:r w:rsidR="003D6524" w:rsidRPr="00854F28">
        <w:t>91</w:t>
      </w:r>
      <w:r w:rsidRPr="00854F28">
        <w:t>%) in the White British category.</w:t>
      </w:r>
      <w:r w:rsidR="00854F28" w:rsidRPr="00854F28">
        <w:t xml:space="preserve"> In 2011-2012 there are increasing numbers </w:t>
      </w:r>
      <w:r w:rsidR="00854F28">
        <w:t xml:space="preserve">of employees in the Black category. </w:t>
      </w:r>
      <w:r w:rsidR="00854F28" w:rsidRPr="00854F28">
        <w:t xml:space="preserve"> </w:t>
      </w:r>
    </w:p>
    <w:p w:rsidR="00E660F1" w:rsidRPr="00854F28" w:rsidRDefault="00E660F1" w:rsidP="003C0E5F">
      <w:pPr>
        <w:spacing w:line="240" w:lineRule="auto"/>
        <w:contextualSpacing/>
        <w:jc w:val="both"/>
      </w:pPr>
    </w:p>
    <w:p w:rsidR="003C0E5F" w:rsidRDefault="003C0E5F" w:rsidP="003C0E5F">
      <w:pPr>
        <w:spacing w:line="240" w:lineRule="auto"/>
        <w:ind w:left="360"/>
        <w:contextualSpacing/>
        <w:jc w:val="both"/>
        <w:rPr>
          <w:b/>
          <w:sz w:val="24"/>
          <w:szCs w:val="24"/>
        </w:rPr>
      </w:pPr>
    </w:p>
    <w:p w:rsidR="00E660F1" w:rsidRPr="00E660F1" w:rsidRDefault="00E660F1" w:rsidP="00E660F1">
      <w:pPr>
        <w:spacing w:line="240" w:lineRule="auto"/>
        <w:contextualSpacing/>
        <w:jc w:val="both"/>
        <w:rPr>
          <w:rFonts w:cstheme="minorHAnsi"/>
          <w:sz w:val="24"/>
          <w:szCs w:val="24"/>
        </w:rPr>
      </w:pPr>
      <w:r w:rsidRPr="00E660F1">
        <w:rPr>
          <w:rFonts w:cstheme="minorHAnsi"/>
          <w:bCs/>
          <w:sz w:val="24"/>
          <w:szCs w:val="24"/>
        </w:rPr>
        <w:t xml:space="preserve">     </w:t>
      </w:r>
    </w:p>
    <w:p w:rsidR="00E660F1" w:rsidRPr="00E660F1" w:rsidRDefault="00E660F1" w:rsidP="00E660F1">
      <w:pPr>
        <w:spacing w:line="240" w:lineRule="auto"/>
        <w:contextualSpacing/>
        <w:jc w:val="both"/>
        <w:rPr>
          <w:sz w:val="20"/>
          <w:szCs w:val="20"/>
        </w:rPr>
      </w:pPr>
    </w:p>
    <w:p w:rsidR="00E660F1" w:rsidRPr="00E660F1" w:rsidRDefault="00E660F1" w:rsidP="00E660F1">
      <w:pPr>
        <w:spacing w:line="240" w:lineRule="auto"/>
        <w:contextualSpacing/>
        <w:jc w:val="both"/>
        <w:rPr>
          <w:sz w:val="20"/>
          <w:szCs w:val="20"/>
        </w:rPr>
      </w:pPr>
    </w:p>
    <w:p w:rsidR="00E660F1" w:rsidRDefault="00E660F1" w:rsidP="00E660F1">
      <w:pPr>
        <w:spacing w:line="240" w:lineRule="auto"/>
        <w:contextualSpacing/>
        <w:jc w:val="both"/>
        <w:rPr>
          <w:sz w:val="20"/>
          <w:szCs w:val="20"/>
        </w:rPr>
      </w:pPr>
    </w:p>
    <w:p w:rsidR="00395DCC" w:rsidRDefault="00395DCC" w:rsidP="00E660F1">
      <w:pPr>
        <w:spacing w:line="240" w:lineRule="auto"/>
        <w:contextualSpacing/>
        <w:jc w:val="both"/>
        <w:rPr>
          <w:sz w:val="20"/>
          <w:szCs w:val="20"/>
        </w:rPr>
      </w:pPr>
    </w:p>
    <w:p w:rsidR="00395DCC" w:rsidRPr="00E660F1" w:rsidRDefault="00395DCC" w:rsidP="00E660F1">
      <w:pPr>
        <w:spacing w:line="240" w:lineRule="auto"/>
        <w:contextualSpacing/>
        <w:jc w:val="both"/>
        <w:rPr>
          <w:sz w:val="20"/>
          <w:szCs w:val="20"/>
        </w:rPr>
      </w:pPr>
    </w:p>
    <w:p w:rsidR="00E660F1" w:rsidRPr="00E660F1" w:rsidRDefault="00E660F1" w:rsidP="00E660F1">
      <w:pPr>
        <w:spacing w:line="240" w:lineRule="auto"/>
        <w:contextualSpacing/>
        <w:jc w:val="both"/>
        <w:rPr>
          <w:sz w:val="20"/>
          <w:szCs w:val="20"/>
        </w:rPr>
      </w:pPr>
    </w:p>
    <w:p w:rsidR="00E660F1" w:rsidRPr="00E660F1" w:rsidRDefault="00E660F1" w:rsidP="00E660F1">
      <w:pPr>
        <w:spacing w:line="240" w:lineRule="auto"/>
        <w:contextualSpacing/>
        <w:jc w:val="both"/>
        <w:rPr>
          <w:sz w:val="20"/>
          <w:szCs w:val="20"/>
        </w:rPr>
      </w:pPr>
      <w:r w:rsidRPr="00E660F1">
        <w:rPr>
          <w:sz w:val="20"/>
          <w:szCs w:val="20"/>
        </w:rPr>
        <w:t>Director of HR &amp; Professional Development &amp; Equality, Diversity and Inclusion Administrator</w:t>
      </w:r>
    </w:p>
    <w:p w:rsidR="00494024" w:rsidRDefault="00E660F1" w:rsidP="00395DCC">
      <w:pPr>
        <w:spacing w:line="240" w:lineRule="auto"/>
        <w:contextualSpacing/>
        <w:jc w:val="both"/>
      </w:pPr>
      <w:r w:rsidRPr="00E660F1">
        <w:rPr>
          <w:sz w:val="20"/>
          <w:szCs w:val="20"/>
        </w:rPr>
        <w:t>November 2012</w:t>
      </w:r>
    </w:p>
    <w:sectPr w:rsidR="00494024" w:rsidSect="004940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24" w:rsidRDefault="003D6524" w:rsidP="00C53932">
      <w:pPr>
        <w:spacing w:after="0" w:line="240" w:lineRule="auto"/>
      </w:pPr>
      <w:r>
        <w:separator/>
      </w:r>
    </w:p>
  </w:endnote>
  <w:endnote w:type="continuationSeparator" w:id="0">
    <w:p w:rsidR="003D6524" w:rsidRDefault="003D6524" w:rsidP="00C5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24" w:rsidRDefault="003D6524" w:rsidP="003F0997">
    <w:pPr>
      <w:pStyle w:val="Footer"/>
    </w:pPr>
    <w:r>
      <w:t xml:space="preserve">5 November 2012                                                      Page </w:t>
    </w:r>
    <w:sdt>
      <w:sdtPr>
        <w:id w:val="5255220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0E23">
          <w:rPr>
            <w:noProof/>
          </w:rPr>
          <w:t>1</w:t>
        </w:r>
        <w:r>
          <w:rPr>
            <w:noProof/>
          </w:rPr>
          <w:fldChar w:fldCharType="end"/>
        </w:r>
      </w:sdtContent>
    </w:sdt>
  </w:p>
  <w:p w:rsidR="003D6524" w:rsidRPr="003F0997" w:rsidRDefault="003D6524" w:rsidP="003F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24" w:rsidRDefault="003D6524" w:rsidP="00C53932">
      <w:pPr>
        <w:spacing w:after="0" w:line="240" w:lineRule="auto"/>
      </w:pPr>
      <w:r>
        <w:separator/>
      </w:r>
    </w:p>
  </w:footnote>
  <w:footnote w:type="continuationSeparator" w:id="0">
    <w:p w:rsidR="003D6524" w:rsidRDefault="003D6524" w:rsidP="00C53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666"/>
    <w:multiLevelType w:val="hybridMultilevel"/>
    <w:tmpl w:val="F1EA648C"/>
    <w:lvl w:ilvl="0" w:tplc="0809000F">
      <w:start w:val="1"/>
      <w:numFmt w:val="decimal"/>
      <w:lvlText w:val="%1."/>
      <w:lvlJc w:val="left"/>
      <w:pPr>
        <w:ind w:left="7920" w:hanging="360"/>
      </w:pPr>
    </w:lvl>
    <w:lvl w:ilvl="1" w:tplc="08090019" w:tentative="1">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1">
    <w:nsid w:val="22694DB4"/>
    <w:multiLevelType w:val="hybridMultilevel"/>
    <w:tmpl w:val="7D720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6C57EED"/>
    <w:multiLevelType w:val="hybridMultilevel"/>
    <w:tmpl w:val="83527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E0B35"/>
    <w:multiLevelType w:val="hybridMultilevel"/>
    <w:tmpl w:val="9286CA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0E576E"/>
    <w:multiLevelType w:val="hybridMultilevel"/>
    <w:tmpl w:val="A834517C"/>
    <w:lvl w:ilvl="0" w:tplc="F88E1B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E1086"/>
    <w:multiLevelType w:val="hybridMultilevel"/>
    <w:tmpl w:val="DEA4CBE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081920"/>
    <w:multiLevelType w:val="hybridMultilevel"/>
    <w:tmpl w:val="3648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B2054"/>
    <w:multiLevelType w:val="hybridMultilevel"/>
    <w:tmpl w:val="461855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BC53D3"/>
    <w:multiLevelType w:val="hybridMultilevel"/>
    <w:tmpl w:val="F87EB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ED7EBE"/>
    <w:multiLevelType w:val="hybridMultilevel"/>
    <w:tmpl w:val="37B21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71421E"/>
    <w:multiLevelType w:val="hybridMultilevel"/>
    <w:tmpl w:val="701A3174"/>
    <w:lvl w:ilvl="0" w:tplc="D7686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E443D2"/>
    <w:multiLevelType w:val="hybridMultilevel"/>
    <w:tmpl w:val="0EE859B0"/>
    <w:lvl w:ilvl="0" w:tplc="F88E1B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
  </w:num>
  <w:num w:numId="6">
    <w:abstractNumId w:val="0"/>
  </w:num>
  <w:num w:numId="7">
    <w:abstractNumId w:val="6"/>
  </w:num>
  <w:num w:numId="8">
    <w:abstractNumId w:val="11"/>
  </w:num>
  <w:num w:numId="9">
    <w:abstractNumId w:val="4"/>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88"/>
    <w:rsid w:val="00026508"/>
    <w:rsid w:val="00043437"/>
    <w:rsid w:val="000C5B3B"/>
    <w:rsid w:val="0010193B"/>
    <w:rsid w:val="001074CC"/>
    <w:rsid w:val="001300C5"/>
    <w:rsid w:val="0013752B"/>
    <w:rsid w:val="0017451E"/>
    <w:rsid w:val="001C5626"/>
    <w:rsid w:val="001D2EEE"/>
    <w:rsid w:val="00243F55"/>
    <w:rsid w:val="00252C25"/>
    <w:rsid w:val="00314433"/>
    <w:rsid w:val="0031582A"/>
    <w:rsid w:val="003325D7"/>
    <w:rsid w:val="00380550"/>
    <w:rsid w:val="00380760"/>
    <w:rsid w:val="00395DCC"/>
    <w:rsid w:val="003C0E5F"/>
    <w:rsid w:val="003C2812"/>
    <w:rsid w:val="003D6524"/>
    <w:rsid w:val="003F0997"/>
    <w:rsid w:val="00411DBB"/>
    <w:rsid w:val="00494024"/>
    <w:rsid w:val="004B5ED2"/>
    <w:rsid w:val="0050367D"/>
    <w:rsid w:val="00511A17"/>
    <w:rsid w:val="00536F71"/>
    <w:rsid w:val="00556443"/>
    <w:rsid w:val="00590DC1"/>
    <w:rsid w:val="005A772F"/>
    <w:rsid w:val="006040A0"/>
    <w:rsid w:val="006A6FA4"/>
    <w:rsid w:val="006B2CF5"/>
    <w:rsid w:val="006B6C6B"/>
    <w:rsid w:val="006E5ECC"/>
    <w:rsid w:val="007174EF"/>
    <w:rsid w:val="00747F18"/>
    <w:rsid w:val="00750496"/>
    <w:rsid w:val="007508DA"/>
    <w:rsid w:val="0076452A"/>
    <w:rsid w:val="007A7E88"/>
    <w:rsid w:val="007B16E7"/>
    <w:rsid w:val="007F0E23"/>
    <w:rsid w:val="00801BA7"/>
    <w:rsid w:val="008358DC"/>
    <w:rsid w:val="00836F7A"/>
    <w:rsid w:val="00854F28"/>
    <w:rsid w:val="00872470"/>
    <w:rsid w:val="008C376E"/>
    <w:rsid w:val="008E5DEA"/>
    <w:rsid w:val="008F084E"/>
    <w:rsid w:val="00927360"/>
    <w:rsid w:val="009322C0"/>
    <w:rsid w:val="0096249E"/>
    <w:rsid w:val="00966ADA"/>
    <w:rsid w:val="009E0F19"/>
    <w:rsid w:val="009E13A7"/>
    <w:rsid w:val="009E5563"/>
    <w:rsid w:val="00A2383B"/>
    <w:rsid w:val="00A57024"/>
    <w:rsid w:val="00A67FE6"/>
    <w:rsid w:val="00A771E2"/>
    <w:rsid w:val="00AA28CD"/>
    <w:rsid w:val="00AE2757"/>
    <w:rsid w:val="00AE2B5B"/>
    <w:rsid w:val="00AE45DF"/>
    <w:rsid w:val="00B13BD0"/>
    <w:rsid w:val="00B5386D"/>
    <w:rsid w:val="00BC155A"/>
    <w:rsid w:val="00BC6EB7"/>
    <w:rsid w:val="00BE5407"/>
    <w:rsid w:val="00BF17F9"/>
    <w:rsid w:val="00C03C87"/>
    <w:rsid w:val="00C05089"/>
    <w:rsid w:val="00C53932"/>
    <w:rsid w:val="00C65701"/>
    <w:rsid w:val="00C835AF"/>
    <w:rsid w:val="00CA31EE"/>
    <w:rsid w:val="00CF2A04"/>
    <w:rsid w:val="00D41BBC"/>
    <w:rsid w:val="00D60744"/>
    <w:rsid w:val="00DB3EB9"/>
    <w:rsid w:val="00DD72AC"/>
    <w:rsid w:val="00E1023F"/>
    <w:rsid w:val="00E660F1"/>
    <w:rsid w:val="00E711CC"/>
    <w:rsid w:val="00ED1B2A"/>
    <w:rsid w:val="00F26E96"/>
    <w:rsid w:val="00FC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8"/>
    <w:pPr>
      <w:ind w:left="720"/>
      <w:contextualSpacing/>
    </w:pPr>
  </w:style>
  <w:style w:type="paragraph" w:styleId="BalloonText">
    <w:name w:val="Balloon Text"/>
    <w:basedOn w:val="Normal"/>
    <w:link w:val="BalloonTextChar"/>
    <w:uiPriority w:val="99"/>
    <w:semiHidden/>
    <w:unhideWhenUsed/>
    <w:rsid w:val="00CF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04"/>
    <w:rPr>
      <w:rFonts w:ascii="Tahoma" w:hAnsi="Tahoma" w:cs="Tahoma"/>
      <w:sz w:val="16"/>
      <w:szCs w:val="16"/>
    </w:rPr>
  </w:style>
  <w:style w:type="paragraph" w:styleId="Header">
    <w:name w:val="header"/>
    <w:basedOn w:val="Normal"/>
    <w:link w:val="HeaderChar"/>
    <w:uiPriority w:val="99"/>
    <w:unhideWhenUsed/>
    <w:rsid w:val="00C5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32"/>
  </w:style>
  <w:style w:type="paragraph" w:styleId="Footer">
    <w:name w:val="footer"/>
    <w:basedOn w:val="Normal"/>
    <w:link w:val="FooterChar"/>
    <w:uiPriority w:val="99"/>
    <w:unhideWhenUsed/>
    <w:rsid w:val="00C5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32"/>
  </w:style>
  <w:style w:type="paragraph" w:styleId="NormalWeb">
    <w:name w:val="Normal (Web)"/>
    <w:basedOn w:val="Normal"/>
    <w:uiPriority w:val="99"/>
    <w:semiHidden/>
    <w:unhideWhenUsed/>
    <w:rsid w:val="00C835AF"/>
    <w:rPr>
      <w:rFonts w:ascii="Times New Roman" w:hAnsi="Times New Roman" w:cs="Times New Roman"/>
      <w:sz w:val="24"/>
      <w:szCs w:val="24"/>
    </w:rPr>
  </w:style>
  <w:style w:type="table" w:styleId="TableGrid">
    <w:name w:val="Table Grid"/>
    <w:basedOn w:val="TableNormal"/>
    <w:uiPriority w:val="59"/>
    <w:rsid w:val="0049402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5407"/>
    <w:pPr>
      <w:spacing w:after="0" w:line="240" w:lineRule="auto"/>
    </w:pPr>
  </w:style>
  <w:style w:type="paragraph" w:customStyle="1" w:styleId="I1">
    <w:name w:val="I1"/>
    <w:rsid w:val="00BE5407"/>
    <w:pPr>
      <w:keepLines/>
      <w:tabs>
        <w:tab w:val="left" w:pos="720"/>
      </w:tabs>
      <w:overflowPunct w:val="0"/>
      <w:autoSpaceDE w:val="0"/>
      <w:autoSpaceDN w:val="0"/>
      <w:adjustRightInd w:val="0"/>
      <w:spacing w:after="0" w:line="240" w:lineRule="auto"/>
      <w:ind w:left="720" w:hanging="720"/>
      <w:jc w:val="both"/>
      <w:textAlignment w:val="baseline"/>
    </w:pPr>
    <w:rPr>
      <w:rFonts w:ascii="Times" w:eastAsia="Times New Roman" w:hAnsi="Times" w:cs="Times New Roman"/>
      <w:sz w:val="24"/>
      <w:szCs w:val="20"/>
    </w:rPr>
  </w:style>
  <w:style w:type="paragraph" w:customStyle="1" w:styleId="i10">
    <w:name w:val="i1"/>
    <w:basedOn w:val="Normal"/>
    <w:rsid w:val="00BE5407"/>
    <w:pPr>
      <w:tabs>
        <w:tab w:val="left" w:pos="720"/>
        <w:tab w:val="left" w:pos="2160"/>
        <w:tab w:val="left" w:pos="4140"/>
        <w:tab w:val="left" w:pos="6480"/>
        <w:tab w:val="left" w:pos="7560"/>
        <w:tab w:val="left" w:pos="9360"/>
        <w:tab w:val="left" w:pos="10440"/>
        <w:tab w:val="left" w:pos="11160"/>
      </w:tabs>
      <w:spacing w:after="0" w:line="240" w:lineRule="atLeast"/>
      <w:jc w:val="both"/>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8"/>
    <w:pPr>
      <w:ind w:left="720"/>
      <w:contextualSpacing/>
    </w:pPr>
  </w:style>
  <w:style w:type="paragraph" w:styleId="BalloonText">
    <w:name w:val="Balloon Text"/>
    <w:basedOn w:val="Normal"/>
    <w:link w:val="BalloonTextChar"/>
    <w:uiPriority w:val="99"/>
    <w:semiHidden/>
    <w:unhideWhenUsed/>
    <w:rsid w:val="00CF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04"/>
    <w:rPr>
      <w:rFonts w:ascii="Tahoma" w:hAnsi="Tahoma" w:cs="Tahoma"/>
      <w:sz w:val="16"/>
      <w:szCs w:val="16"/>
    </w:rPr>
  </w:style>
  <w:style w:type="paragraph" w:styleId="Header">
    <w:name w:val="header"/>
    <w:basedOn w:val="Normal"/>
    <w:link w:val="HeaderChar"/>
    <w:uiPriority w:val="99"/>
    <w:unhideWhenUsed/>
    <w:rsid w:val="00C5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32"/>
  </w:style>
  <w:style w:type="paragraph" w:styleId="Footer">
    <w:name w:val="footer"/>
    <w:basedOn w:val="Normal"/>
    <w:link w:val="FooterChar"/>
    <w:uiPriority w:val="99"/>
    <w:unhideWhenUsed/>
    <w:rsid w:val="00C5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32"/>
  </w:style>
  <w:style w:type="paragraph" w:styleId="NormalWeb">
    <w:name w:val="Normal (Web)"/>
    <w:basedOn w:val="Normal"/>
    <w:uiPriority w:val="99"/>
    <w:semiHidden/>
    <w:unhideWhenUsed/>
    <w:rsid w:val="00C835AF"/>
    <w:rPr>
      <w:rFonts w:ascii="Times New Roman" w:hAnsi="Times New Roman" w:cs="Times New Roman"/>
      <w:sz w:val="24"/>
      <w:szCs w:val="24"/>
    </w:rPr>
  </w:style>
  <w:style w:type="table" w:styleId="TableGrid">
    <w:name w:val="Table Grid"/>
    <w:basedOn w:val="TableNormal"/>
    <w:uiPriority w:val="59"/>
    <w:rsid w:val="0049402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5407"/>
    <w:pPr>
      <w:spacing w:after="0" w:line="240" w:lineRule="auto"/>
    </w:pPr>
  </w:style>
  <w:style w:type="paragraph" w:customStyle="1" w:styleId="I1">
    <w:name w:val="I1"/>
    <w:rsid w:val="00BE5407"/>
    <w:pPr>
      <w:keepLines/>
      <w:tabs>
        <w:tab w:val="left" w:pos="720"/>
      </w:tabs>
      <w:overflowPunct w:val="0"/>
      <w:autoSpaceDE w:val="0"/>
      <w:autoSpaceDN w:val="0"/>
      <w:adjustRightInd w:val="0"/>
      <w:spacing w:after="0" w:line="240" w:lineRule="auto"/>
      <w:ind w:left="720" w:hanging="720"/>
      <w:jc w:val="both"/>
      <w:textAlignment w:val="baseline"/>
    </w:pPr>
    <w:rPr>
      <w:rFonts w:ascii="Times" w:eastAsia="Times New Roman" w:hAnsi="Times" w:cs="Times New Roman"/>
      <w:sz w:val="24"/>
      <w:szCs w:val="20"/>
    </w:rPr>
  </w:style>
  <w:style w:type="paragraph" w:customStyle="1" w:styleId="i10">
    <w:name w:val="i1"/>
    <w:basedOn w:val="Normal"/>
    <w:rsid w:val="00BE5407"/>
    <w:pPr>
      <w:tabs>
        <w:tab w:val="left" w:pos="720"/>
        <w:tab w:val="left" w:pos="2160"/>
        <w:tab w:val="left" w:pos="4140"/>
        <w:tab w:val="left" w:pos="6480"/>
        <w:tab w:val="left" w:pos="7560"/>
        <w:tab w:val="left" w:pos="9360"/>
        <w:tab w:val="left" w:pos="10440"/>
        <w:tab w:val="left" w:pos="11160"/>
      </w:tabs>
      <w:spacing w:after="0" w:line="240" w:lineRule="atLeast"/>
      <w:jc w:val="both"/>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7482">
      <w:bodyDiv w:val="1"/>
      <w:marLeft w:val="0"/>
      <w:marRight w:val="0"/>
      <w:marTop w:val="0"/>
      <w:marBottom w:val="0"/>
      <w:divBdr>
        <w:top w:val="none" w:sz="0" w:space="0" w:color="auto"/>
        <w:left w:val="none" w:sz="0" w:space="0" w:color="auto"/>
        <w:bottom w:val="none" w:sz="0" w:space="0" w:color="auto"/>
        <w:right w:val="none" w:sz="0" w:space="0" w:color="auto"/>
      </w:divBdr>
    </w:div>
    <w:div w:id="673190188">
      <w:bodyDiv w:val="1"/>
      <w:marLeft w:val="0"/>
      <w:marRight w:val="0"/>
      <w:marTop w:val="0"/>
      <w:marBottom w:val="0"/>
      <w:divBdr>
        <w:top w:val="none" w:sz="0" w:space="0" w:color="auto"/>
        <w:left w:val="none" w:sz="0" w:space="0" w:color="auto"/>
        <w:bottom w:val="none" w:sz="0" w:space="0" w:color="auto"/>
        <w:right w:val="none" w:sz="0" w:space="0" w:color="auto"/>
      </w:divBdr>
    </w:div>
    <w:div w:id="676269383">
      <w:bodyDiv w:val="1"/>
      <w:marLeft w:val="0"/>
      <w:marRight w:val="0"/>
      <w:marTop w:val="0"/>
      <w:marBottom w:val="0"/>
      <w:divBdr>
        <w:top w:val="none" w:sz="0" w:space="0" w:color="auto"/>
        <w:left w:val="none" w:sz="0" w:space="0" w:color="auto"/>
        <w:bottom w:val="none" w:sz="0" w:space="0" w:color="auto"/>
        <w:right w:val="none" w:sz="0" w:space="0" w:color="auto"/>
      </w:divBdr>
    </w:div>
    <w:div w:id="755781942">
      <w:bodyDiv w:val="1"/>
      <w:marLeft w:val="0"/>
      <w:marRight w:val="0"/>
      <w:marTop w:val="0"/>
      <w:marBottom w:val="0"/>
      <w:divBdr>
        <w:top w:val="none" w:sz="0" w:space="0" w:color="auto"/>
        <w:left w:val="none" w:sz="0" w:space="0" w:color="auto"/>
        <w:bottom w:val="none" w:sz="0" w:space="0" w:color="auto"/>
        <w:right w:val="none" w:sz="0" w:space="0" w:color="auto"/>
      </w:divBdr>
    </w:div>
    <w:div w:id="828326567">
      <w:bodyDiv w:val="1"/>
      <w:marLeft w:val="0"/>
      <w:marRight w:val="0"/>
      <w:marTop w:val="0"/>
      <w:marBottom w:val="0"/>
      <w:divBdr>
        <w:top w:val="none" w:sz="0" w:space="0" w:color="auto"/>
        <w:left w:val="none" w:sz="0" w:space="0" w:color="auto"/>
        <w:bottom w:val="none" w:sz="0" w:space="0" w:color="auto"/>
        <w:right w:val="none" w:sz="0" w:space="0" w:color="auto"/>
      </w:divBdr>
    </w:div>
    <w:div w:id="1092431584">
      <w:bodyDiv w:val="1"/>
      <w:marLeft w:val="0"/>
      <w:marRight w:val="0"/>
      <w:marTop w:val="0"/>
      <w:marBottom w:val="0"/>
      <w:divBdr>
        <w:top w:val="none" w:sz="0" w:space="0" w:color="auto"/>
        <w:left w:val="none" w:sz="0" w:space="0" w:color="auto"/>
        <w:bottom w:val="none" w:sz="0" w:space="0" w:color="auto"/>
        <w:right w:val="none" w:sz="0" w:space="0" w:color="auto"/>
      </w:divBdr>
    </w:div>
    <w:div w:id="1650283757">
      <w:bodyDiv w:val="1"/>
      <w:marLeft w:val="0"/>
      <w:marRight w:val="0"/>
      <w:marTop w:val="0"/>
      <w:marBottom w:val="0"/>
      <w:divBdr>
        <w:top w:val="none" w:sz="0" w:space="0" w:color="auto"/>
        <w:left w:val="none" w:sz="0" w:space="0" w:color="auto"/>
        <w:bottom w:val="none" w:sz="0" w:space="0" w:color="auto"/>
        <w:right w:val="none" w:sz="0" w:space="0" w:color="auto"/>
      </w:divBdr>
    </w:div>
    <w:div w:id="1680501394">
      <w:bodyDiv w:val="1"/>
      <w:marLeft w:val="0"/>
      <w:marRight w:val="0"/>
      <w:marTop w:val="0"/>
      <w:marBottom w:val="0"/>
      <w:divBdr>
        <w:top w:val="none" w:sz="0" w:space="0" w:color="auto"/>
        <w:left w:val="none" w:sz="0" w:space="0" w:color="auto"/>
        <w:bottom w:val="none" w:sz="0" w:space="0" w:color="auto"/>
        <w:right w:val="none" w:sz="0" w:space="0" w:color="auto"/>
      </w:divBdr>
    </w:div>
    <w:div w:id="1856648407">
      <w:bodyDiv w:val="1"/>
      <w:marLeft w:val="0"/>
      <w:marRight w:val="0"/>
      <w:marTop w:val="0"/>
      <w:marBottom w:val="0"/>
      <w:divBdr>
        <w:top w:val="none" w:sz="0" w:space="0" w:color="auto"/>
        <w:left w:val="none" w:sz="0" w:space="0" w:color="auto"/>
        <w:bottom w:val="none" w:sz="0" w:space="0" w:color="auto"/>
        <w:right w:val="none" w:sz="0" w:space="0" w:color="auto"/>
      </w:divBdr>
    </w:div>
    <w:div w:id="1934166847">
      <w:bodyDiv w:val="1"/>
      <w:marLeft w:val="0"/>
      <w:marRight w:val="0"/>
      <w:marTop w:val="0"/>
      <w:marBottom w:val="0"/>
      <w:divBdr>
        <w:top w:val="none" w:sz="0" w:space="0" w:color="auto"/>
        <w:left w:val="none" w:sz="0" w:space="0" w:color="auto"/>
        <w:bottom w:val="none" w:sz="0" w:space="0" w:color="auto"/>
        <w:right w:val="none" w:sz="0" w:space="0" w:color="auto"/>
      </w:divBdr>
    </w:div>
    <w:div w:id="21429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F890-3B46-4FF3-A4E4-ED4368CE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3DD45BE0</Template>
  <TotalTime>40</TotalTime>
  <Pages>8</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Deaville</dc:creator>
  <cp:lastModifiedBy>Sue Deaville</cp:lastModifiedBy>
  <cp:revision>6</cp:revision>
  <cp:lastPrinted>2012-10-25T20:16:00Z</cp:lastPrinted>
  <dcterms:created xsi:type="dcterms:W3CDTF">2013-09-23T13:53:00Z</dcterms:created>
  <dcterms:modified xsi:type="dcterms:W3CDTF">2013-10-07T13:47:00Z</dcterms:modified>
</cp:coreProperties>
</file>