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D0" w:rsidRPr="00F85536" w:rsidRDefault="009079D0" w:rsidP="009079D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85536">
        <w:rPr>
          <w:b/>
          <w:sz w:val="28"/>
          <w:szCs w:val="28"/>
        </w:rPr>
        <w:t>EDI ACTION PLAN FOR THE PERIOD</w:t>
      </w:r>
    </w:p>
    <w:p w:rsidR="009079D0" w:rsidRPr="00F85536" w:rsidRDefault="009079D0" w:rsidP="009079D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85536">
        <w:rPr>
          <w:b/>
          <w:sz w:val="28"/>
          <w:szCs w:val="28"/>
        </w:rPr>
        <w:t>1</w:t>
      </w:r>
      <w:r w:rsidRPr="00F85536">
        <w:rPr>
          <w:b/>
          <w:sz w:val="28"/>
          <w:szCs w:val="28"/>
          <w:vertAlign w:val="superscript"/>
        </w:rPr>
        <w:t>st</w:t>
      </w:r>
      <w:r w:rsidRPr="00F85536">
        <w:rPr>
          <w:b/>
          <w:sz w:val="28"/>
          <w:szCs w:val="28"/>
        </w:rPr>
        <w:t xml:space="preserve"> </w:t>
      </w:r>
      <w:r w:rsidR="00B80451">
        <w:rPr>
          <w:b/>
          <w:sz w:val="28"/>
          <w:szCs w:val="28"/>
        </w:rPr>
        <w:t>JANUARY 2014</w:t>
      </w:r>
      <w:r w:rsidRPr="00F85536">
        <w:rPr>
          <w:b/>
          <w:sz w:val="28"/>
          <w:szCs w:val="28"/>
        </w:rPr>
        <w:t xml:space="preserve"> to </w:t>
      </w:r>
      <w:r w:rsidR="00B80451">
        <w:rPr>
          <w:b/>
          <w:sz w:val="28"/>
          <w:szCs w:val="28"/>
        </w:rPr>
        <w:t>2</w:t>
      </w:r>
      <w:r w:rsidRPr="00F85536">
        <w:rPr>
          <w:b/>
          <w:sz w:val="28"/>
          <w:szCs w:val="28"/>
        </w:rPr>
        <w:t>1</w:t>
      </w:r>
      <w:r w:rsidRPr="00F85536">
        <w:rPr>
          <w:b/>
          <w:sz w:val="28"/>
          <w:szCs w:val="28"/>
          <w:vertAlign w:val="superscript"/>
        </w:rPr>
        <w:t>st</w:t>
      </w:r>
      <w:r w:rsidRPr="00F85536">
        <w:rPr>
          <w:b/>
          <w:sz w:val="28"/>
          <w:szCs w:val="28"/>
        </w:rPr>
        <w:t xml:space="preserve"> </w:t>
      </w:r>
      <w:r w:rsidR="00B80451">
        <w:rPr>
          <w:b/>
          <w:sz w:val="28"/>
          <w:szCs w:val="28"/>
        </w:rPr>
        <w:t>APRIL</w:t>
      </w:r>
      <w:r w:rsidRPr="00F85536">
        <w:rPr>
          <w:b/>
          <w:sz w:val="28"/>
          <w:szCs w:val="28"/>
        </w:rPr>
        <w:t xml:space="preserve"> 201</w:t>
      </w:r>
      <w:r w:rsidR="00B80451">
        <w:rPr>
          <w:b/>
          <w:sz w:val="28"/>
          <w:szCs w:val="28"/>
        </w:rPr>
        <w:t>4</w:t>
      </w:r>
    </w:p>
    <w:p w:rsidR="009079D0" w:rsidRPr="00F85536" w:rsidRDefault="009079D0" w:rsidP="009079D0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2"/>
        <w:tblW w:w="5120" w:type="pct"/>
        <w:tblLayout w:type="fixed"/>
        <w:tblLook w:val="04A0" w:firstRow="1" w:lastRow="0" w:firstColumn="1" w:lastColumn="0" w:noHBand="0" w:noVBand="1"/>
      </w:tblPr>
      <w:tblGrid>
        <w:gridCol w:w="4786"/>
        <w:gridCol w:w="1844"/>
        <w:gridCol w:w="1416"/>
        <w:gridCol w:w="1418"/>
      </w:tblGrid>
      <w:tr w:rsidR="009079D0" w:rsidRPr="00F85536" w:rsidTr="00057F2B">
        <w:tc>
          <w:tcPr>
            <w:tcW w:w="2529" w:type="pct"/>
          </w:tcPr>
          <w:p w:rsidR="009079D0" w:rsidRPr="00F85536" w:rsidRDefault="009079D0" w:rsidP="00CE371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85536">
              <w:rPr>
                <w:rFonts w:asciiTheme="minorHAnsi" w:hAnsiTheme="minorHAnsi" w:cs="Arial"/>
                <w:b/>
                <w:szCs w:val="24"/>
              </w:rPr>
              <w:t>ACTION</w:t>
            </w:r>
          </w:p>
        </w:tc>
        <w:tc>
          <w:tcPr>
            <w:tcW w:w="974" w:type="pct"/>
          </w:tcPr>
          <w:p w:rsidR="009079D0" w:rsidRPr="00F85536" w:rsidRDefault="009079D0" w:rsidP="00CE371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85536">
              <w:rPr>
                <w:rFonts w:asciiTheme="minorHAnsi" w:hAnsiTheme="minorHAnsi" w:cs="Arial"/>
                <w:b/>
                <w:szCs w:val="24"/>
              </w:rPr>
              <w:t>By Whom</w:t>
            </w:r>
          </w:p>
        </w:tc>
        <w:tc>
          <w:tcPr>
            <w:tcW w:w="748" w:type="pct"/>
          </w:tcPr>
          <w:p w:rsidR="009079D0" w:rsidRPr="00F85536" w:rsidRDefault="009079D0" w:rsidP="00CE371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85536">
              <w:rPr>
                <w:rFonts w:asciiTheme="minorHAnsi" w:hAnsiTheme="minorHAnsi" w:cs="Arial"/>
                <w:b/>
                <w:szCs w:val="24"/>
              </w:rPr>
              <w:t>By When</w:t>
            </w:r>
          </w:p>
        </w:tc>
        <w:tc>
          <w:tcPr>
            <w:tcW w:w="749" w:type="pct"/>
          </w:tcPr>
          <w:p w:rsidR="009079D0" w:rsidRPr="00F85536" w:rsidRDefault="009079D0" w:rsidP="00CE3711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85536">
              <w:rPr>
                <w:rFonts w:asciiTheme="minorHAnsi" w:hAnsiTheme="minorHAnsi" w:cs="Arial"/>
                <w:b/>
                <w:szCs w:val="24"/>
              </w:rPr>
              <w:t>STATUS</w:t>
            </w:r>
          </w:p>
        </w:tc>
      </w:tr>
      <w:tr w:rsidR="00CE3711" w:rsidRPr="00F85536" w:rsidTr="00057F2B">
        <w:tc>
          <w:tcPr>
            <w:tcW w:w="2529" w:type="pct"/>
          </w:tcPr>
          <w:p w:rsidR="00CE3711" w:rsidRPr="00F85536" w:rsidRDefault="00CE3711" w:rsidP="00CE3711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LGBT</w:t>
            </w:r>
            <w:r w:rsidRPr="00F85536">
              <w:rPr>
                <w:rFonts w:asciiTheme="minorHAnsi" w:hAnsiTheme="minorHAnsi" w:cs="Arial"/>
                <w:b/>
                <w:sz w:val="22"/>
              </w:rPr>
              <w:t xml:space="preserve"> Month.</w:t>
            </w:r>
          </w:p>
          <w:p w:rsidR="00CE3711" w:rsidRPr="00F85536" w:rsidRDefault="00CE3711" w:rsidP="00CE3711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</w:rPr>
              <w:t>February</w:t>
            </w:r>
            <w:r w:rsidRPr="00F85536">
              <w:rPr>
                <w:rFonts w:asciiTheme="minorHAnsi" w:hAnsiTheme="minorHAnsi" w:cs="Arial"/>
                <w:sz w:val="22"/>
              </w:rPr>
              <w:t>: A display in the</w:t>
            </w:r>
            <w:r>
              <w:rPr>
                <w:rFonts w:asciiTheme="minorHAnsi" w:hAnsiTheme="minorHAnsi" w:cs="Arial"/>
                <w:sz w:val="22"/>
              </w:rPr>
              <w:t xml:space="preserve"> glass cabinet in D1 regarding</w:t>
            </w:r>
            <w:r w:rsidRPr="00F85536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 xml:space="preserve">LGBT </w:t>
            </w:r>
          </w:p>
        </w:tc>
        <w:tc>
          <w:tcPr>
            <w:tcW w:w="974" w:type="pct"/>
          </w:tcPr>
          <w:p w:rsidR="00CE3711" w:rsidRPr="00F85536" w:rsidRDefault="00CE3711" w:rsidP="00CE3711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Library</w:t>
            </w:r>
          </w:p>
        </w:tc>
        <w:tc>
          <w:tcPr>
            <w:tcW w:w="748" w:type="pct"/>
          </w:tcPr>
          <w:p w:rsidR="00CE3711" w:rsidRPr="00F85536" w:rsidRDefault="00CE3711" w:rsidP="00057F2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Feb</w:t>
            </w:r>
            <w:r w:rsidR="00057F2B">
              <w:rPr>
                <w:rFonts w:asciiTheme="minorHAnsi" w:hAnsiTheme="minorHAnsi" w:cs="Arial"/>
                <w:sz w:val="22"/>
              </w:rPr>
              <w:t xml:space="preserve"> </w:t>
            </w:r>
            <w:r w:rsidRPr="00F85536">
              <w:rPr>
                <w:rFonts w:asciiTheme="minorHAnsi" w:hAnsiTheme="minorHAnsi" w:cs="Arial"/>
                <w:sz w:val="22"/>
              </w:rPr>
              <w:t>201</w:t>
            </w:r>
            <w:r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749" w:type="pct"/>
          </w:tcPr>
          <w:p w:rsidR="00CE3711" w:rsidRPr="00F85536" w:rsidRDefault="00057F2B" w:rsidP="00CE371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9079D0" w:rsidRPr="00F85536" w:rsidTr="00057F2B">
        <w:tc>
          <w:tcPr>
            <w:tcW w:w="2529" w:type="pct"/>
          </w:tcPr>
          <w:p w:rsidR="009079D0" w:rsidRPr="00F85536" w:rsidRDefault="004F66F2" w:rsidP="00CE3711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Student EDI Survey</w:t>
            </w:r>
            <w:r w:rsidR="009079D0" w:rsidRPr="00F85536">
              <w:rPr>
                <w:rFonts w:asciiTheme="minorHAnsi" w:hAnsiTheme="minorHAnsi" w:cs="Arial"/>
                <w:b/>
                <w:sz w:val="22"/>
              </w:rPr>
              <w:t>.</w:t>
            </w:r>
          </w:p>
          <w:p w:rsidR="009079D0" w:rsidRPr="00F85536" w:rsidRDefault="004F66F2" w:rsidP="004F66F2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</w:rPr>
              <w:t>February</w:t>
            </w:r>
            <w:r w:rsidR="009079D0" w:rsidRPr="00F85536">
              <w:rPr>
                <w:rFonts w:asciiTheme="minorHAnsi" w:hAnsiTheme="minorHAnsi" w:cs="Arial"/>
                <w:sz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</w:rPr>
              <w:t>Launch Student EDI Survey to run for two weeks</w:t>
            </w:r>
          </w:p>
        </w:tc>
        <w:tc>
          <w:tcPr>
            <w:tcW w:w="974" w:type="pct"/>
          </w:tcPr>
          <w:p w:rsidR="009079D0" w:rsidRPr="00F85536" w:rsidRDefault="004F66F2" w:rsidP="00CE371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BRIC/AREI/JWEH</w:t>
            </w:r>
          </w:p>
        </w:tc>
        <w:tc>
          <w:tcPr>
            <w:tcW w:w="748" w:type="pct"/>
          </w:tcPr>
          <w:p w:rsidR="009079D0" w:rsidRPr="00F85536" w:rsidRDefault="004F66F2" w:rsidP="00057F2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 Feb</w:t>
            </w:r>
            <w:r w:rsidR="00057F2B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2014</w:t>
            </w:r>
          </w:p>
        </w:tc>
        <w:tc>
          <w:tcPr>
            <w:tcW w:w="749" w:type="pct"/>
          </w:tcPr>
          <w:p w:rsidR="009079D0" w:rsidRPr="00F85536" w:rsidRDefault="00057F2B" w:rsidP="00CE371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8B6473" w:rsidRPr="00F85536" w:rsidTr="00057F2B">
        <w:tc>
          <w:tcPr>
            <w:tcW w:w="2529" w:type="pct"/>
          </w:tcPr>
          <w:p w:rsidR="008B6473" w:rsidRDefault="008B6473" w:rsidP="00CE3711">
            <w:pPr>
              <w:rPr>
                <w:rFonts w:asciiTheme="minorHAnsi" w:hAnsiTheme="minorHAnsi" w:cs="Arial"/>
                <w:b/>
                <w:sz w:val="22"/>
              </w:rPr>
            </w:pPr>
            <w:r w:rsidRPr="008B6473">
              <w:rPr>
                <w:rFonts w:asciiTheme="minorHAnsi" w:hAnsiTheme="minorHAnsi" w:cs="Arial"/>
                <w:b/>
                <w:sz w:val="22"/>
              </w:rPr>
              <w:t>LGBT Awareness and Discussion Drop in Event</w:t>
            </w:r>
          </w:p>
          <w:p w:rsidR="008B6473" w:rsidRPr="008B6473" w:rsidRDefault="009D4EA6" w:rsidP="009D4EA6">
            <w:pPr>
              <w:rPr>
                <w:rFonts w:asciiTheme="minorHAnsi" w:hAnsiTheme="minorHAnsi" w:cs="Arial"/>
                <w:b/>
                <w:sz w:val="22"/>
              </w:rPr>
            </w:pPr>
            <w:r w:rsidRPr="009D4EA6">
              <w:rPr>
                <w:rFonts w:asciiTheme="minorHAnsi" w:hAnsiTheme="minorHAnsi"/>
                <w:sz w:val="22"/>
              </w:rPr>
              <w:t>For students, staff, parents, guardians, family and friends</w:t>
            </w:r>
          </w:p>
        </w:tc>
        <w:tc>
          <w:tcPr>
            <w:tcW w:w="974" w:type="pct"/>
          </w:tcPr>
          <w:p w:rsidR="008B6473" w:rsidRPr="008B6473" w:rsidRDefault="008B6473" w:rsidP="00CE371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BRIC/LGBT Group</w:t>
            </w:r>
          </w:p>
        </w:tc>
        <w:tc>
          <w:tcPr>
            <w:tcW w:w="748" w:type="pct"/>
          </w:tcPr>
          <w:p w:rsidR="008B6473" w:rsidRPr="008B6473" w:rsidRDefault="008B6473" w:rsidP="00057F2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26 Feb 2014</w:t>
            </w:r>
          </w:p>
        </w:tc>
        <w:tc>
          <w:tcPr>
            <w:tcW w:w="749" w:type="pct"/>
          </w:tcPr>
          <w:p w:rsidR="008B6473" w:rsidRPr="008B6473" w:rsidRDefault="008B6473" w:rsidP="00CE371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A509B5" w:rsidRPr="00F85536" w:rsidTr="00057F2B">
        <w:tc>
          <w:tcPr>
            <w:tcW w:w="2529" w:type="pct"/>
          </w:tcPr>
          <w:p w:rsidR="00A509B5" w:rsidRDefault="00A509B5" w:rsidP="00A509B5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Women’s History</w:t>
            </w:r>
            <w:r w:rsidRPr="00F85536">
              <w:rPr>
                <w:rFonts w:asciiTheme="minorHAnsi" w:hAnsiTheme="minorHAnsi" w:cs="Arial"/>
                <w:b/>
                <w:sz w:val="22"/>
              </w:rPr>
              <w:t xml:space="preserve"> Month.</w:t>
            </w:r>
          </w:p>
          <w:p w:rsidR="00A509B5" w:rsidRPr="00F85536" w:rsidRDefault="00A509B5" w:rsidP="00D167C1">
            <w:pPr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sz w:val="22"/>
              </w:rPr>
              <w:t xml:space="preserve">March: A display in the glass cabinet in D1 marking the life of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Malala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Yousafzai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who was shot in the head and neck aged 15 for campaigning for right </w:t>
            </w:r>
            <w:r w:rsidR="00D167C1">
              <w:rPr>
                <w:rFonts w:asciiTheme="minorHAnsi" w:hAnsiTheme="minorHAnsi" w:cs="Arial"/>
                <w:sz w:val="22"/>
              </w:rPr>
              <w:t>to education for all</w:t>
            </w:r>
            <w:bookmarkStart w:id="0" w:name="_GoBack"/>
            <w:bookmarkEnd w:id="0"/>
          </w:p>
        </w:tc>
        <w:tc>
          <w:tcPr>
            <w:tcW w:w="974" w:type="pct"/>
          </w:tcPr>
          <w:p w:rsidR="00A509B5" w:rsidRPr="00A509B5" w:rsidRDefault="00A509B5" w:rsidP="00CE3711">
            <w:pPr>
              <w:rPr>
                <w:rFonts w:asciiTheme="minorHAnsi" w:hAnsiTheme="minorHAnsi" w:cs="Arial"/>
                <w:sz w:val="22"/>
              </w:rPr>
            </w:pPr>
            <w:r w:rsidRPr="00A509B5">
              <w:rPr>
                <w:rFonts w:asciiTheme="minorHAnsi" w:hAnsiTheme="minorHAnsi" w:cs="Arial"/>
                <w:sz w:val="22"/>
              </w:rPr>
              <w:t>Library</w:t>
            </w:r>
          </w:p>
        </w:tc>
        <w:tc>
          <w:tcPr>
            <w:tcW w:w="748" w:type="pct"/>
          </w:tcPr>
          <w:p w:rsidR="00A509B5" w:rsidRPr="00A509B5" w:rsidRDefault="00A509B5" w:rsidP="00057F2B">
            <w:pPr>
              <w:rPr>
                <w:rFonts w:asciiTheme="minorHAnsi" w:hAnsiTheme="minorHAnsi" w:cs="Arial"/>
                <w:sz w:val="22"/>
              </w:rPr>
            </w:pPr>
            <w:r w:rsidRPr="00A509B5">
              <w:rPr>
                <w:rFonts w:asciiTheme="minorHAnsi" w:hAnsiTheme="minorHAnsi" w:cs="Arial"/>
                <w:sz w:val="22"/>
              </w:rPr>
              <w:t>March 2014</w:t>
            </w:r>
          </w:p>
        </w:tc>
        <w:tc>
          <w:tcPr>
            <w:tcW w:w="749" w:type="pct"/>
          </w:tcPr>
          <w:p w:rsidR="00A509B5" w:rsidRPr="00A509B5" w:rsidRDefault="00A509B5" w:rsidP="00CE371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079D0" w:rsidRPr="00F85536" w:rsidTr="00057F2B">
        <w:tc>
          <w:tcPr>
            <w:tcW w:w="2529" w:type="pct"/>
          </w:tcPr>
          <w:p w:rsidR="009079D0" w:rsidRPr="00F85536" w:rsidRDefault="009079D0" w:rsidP="00CE3711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b/>
                <w:sz w:val="22"/>
              </w:rPr>
              <w:t>EDI Steering Group Meeting</w:t>
            </w:r>
          </w:p>
          <w:p w:rsidR="009079D0" w:rsidRPr="00F85536" w:rsidRDefault="009079D0" w:rsidP="004F66F2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 xml:space="preserve">To meet with the EDI Steering Group to </w:t>
            </w:r>
            <w:r w:rsidR="004F66F2">
              <w:rPr>
                <w:rFonts w:asciiTheme="minorHAnsi" w:hAnsiTheme="minorHAnsi" w:cs="Arial"/>
                <w:sz w:val="22"/>
              </w:rPr>
              <w:t>discuss actions from the Autumn Term Meeting  and decide on a 1 – 3 day EDI Event for 2013-2014</w:t>
            </w:r>
          </w:p>
        </w:tc>
        <w:tc>
          <w:tcPr>
            <w:tcW w:w="974" w:type="pct"/>
          </w:tcPr>
          <w:p w:rsidR="009079D0" w:rsidRPr="00F85536" w:rsidRDefault="009079D0" w:rsidP="00CE3711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BRIC/SDEA</w:t>
            </w:r>
          </w:p>
        </w:tc>
        <w:tc>
          <w:tcPr>
            <w:tcW w:w="748" w:type="pct"/>
          </w:tcPr>
          <w:p w:rsidR="004F66F2" w:rsidRPr="00F85536" w:rsidRDefault="004F66F2" w:rsidP="00057F2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19 Mar</w:t>
            </w:r>
            <w:r w:rsidR="00057F2B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2014</w:t>
            </w:r>
          </w:p>
        </w:tc>
        <w:tc>
          <w:tcPr>
            <w:tcW w:w="749" w:type="pct"/>
          </w:tcPr>
          <w:p w:rsidR="009079D0" w:rsidRPr="00F85536" w:rsidRDefault="009079D0" w:rsidP="00CE371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F66F2" w:rsidRPr="00F85536" w:rsidTr="00057F2B">
        <w:tc>
          <w:tcPr>
            <w:tcW w:w="2529" w:type="pct"/>
          </w:tcPr>
          <w:p w:rsidR="004F66F2" w:rsidRPr="00F85536" w:rsidRDefault="004F66F2" w:rsidP="004F66F2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b/>
                <w:sz w:val="22"/>
              </w:rPr>
              <w:t>Carers Focus Group</w:t>
            </w:r>
          </w:p>
          <w:p w:rsidR="004F66F2" w:rsidRPr="00F85536" w:rsidRDefault="004F66F2" w:rsidP="004F66F2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Publicise and establish a Carers Focus Group</w:t>
            </w:r>
          </w:p>
        </w:tc>
        <w:tc>
          <w:tcPr>
            <w:tcW w:w="974" w:type="pct"/>
          </w:tcPr>
          <w:p w:rsidR="004F66F2" w:rsidRPr="00F85536" w:rsidRDefault="004F66F2" w:rsidP="004F66F2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BRIC</w:t>
            </w:r>
          </w:p>
        </w:tc>
        <w:tc>
          <w:tcPr>
            <w:tcW w:w="748" w:type="pct"/>
          </w:tcPr>
          <w:p w:rsidR="004F66F2" w:rsidRPr="00F85536" w:rsidRDefault="004F66F2" w:rsidP="00057F2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21 April</w:t>
            </w:r>
            <w:r w:rsidR="00057F2B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2014</w:t>
            </w:r>
          </w:p>
        </w:tc>
        <w:tc>
          <w:tcPr>
            <w:tcW w:w="749" w:type="pct"/>
          </w:tcPr>
          <w:p w:rsidR="004F66F2" w:rsidRPr="00F85536" w:rsidRDefault="004F66F2" w:rsidP="004F66F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079D0" w:rsidRPr="00F85536" w:rsidTr="00057F2B">
        <w:tc>
          <w:tcPr>
            <w:tcW w:w="2529" w:type="pct"/>
          </w:tcPr>
          <w:p w:rsidR="009079D0" w:rsidRPr="00F85536" w:rsidRDefault="004F66F2" w:rsidP="00CE3711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LGBT</w:t>
            </w:r>
            <w:r w:rsidR="009079D0" w:rsidRPr="00F85536">
              <w:rPr>
                <w:rFonts w:asciiTheme="minorHAnsi" w:hAnsiTheme="minorHAnsi" w:cs="Arial"/>
                <w:b/>
                <w:sz w:val="22"/>
              </w:rPr>
              <w:t xml:space="preserve"> Group</w:t>
            </w:r>
          </w:p>
          <w:p w:rsidR="009079D0" w:rsidRPr="00F85536" w:rsidRDefault="004F66F2" w:rsidP="00702B7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Regular meetings of the LGBT Group</w:t>
            </w:r>
          </w:p>
        </w:tc>
        <w:tc>
          <w:tcPr>
            <w:tcW w:w="974" w:type="pct"/>
          </w:tcPr>
          <w:p w:rsidR="009079D0" w:rsidRPr="00F85536" w:rsidRDefault="009079D0" w:rsidP="00CE3711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BRIC</w:t>
            </w:r>
          </w:p>
        </w:tc>
        <w:tc>
          <w:tcPr>
            <w:tcW w:w="748" w:type="pct"/>
          </w:tcPr>
          <w:p w:rsidR="004F66F2" w:rsidRPr="00F85536" w:rsidRDefault="00057F2B" w:rsidP="00057F2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Incremental</w:t>
            </w:r>
          </w:p>
        </w:tc>
        <w:tc>
          <w:tcPr>
            <w:tcW w:w="749" w:type="pct"/>
          </w:tcPr>
          <w:p w:rsidR="009079D0" w:rsidRPr="00F85536" w:rsidRDefault="00057F2B" w:rsidP="00057F2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Incremental</w:t>
            </w:r>
          </w:p>
        </w:tc>
      </w:tr>
      <w:tr w:rsidR="009079D0" w:rsidRPr="00F85536" w:rsidTr="00057F2B">
        <w:tc>
          <w:tcPr>
            <w:tcW w:w="2529" w:type="pct"/>
          </w:tcPr>
          <w:p w:rsidR="009079D0" w:rsidRPr="00F85536" w:rsidRDefault="009079D0" w:rsidP="00CE3711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b/>
                <w:sz w:val="22"/>
              </w:rPr>
              <w:t>International Relations Discussion Group</w:t>
            </w:r>
          </w:p>
          <w:p w:rsidR="009079D0" w:rsidRPr="00F85536" w:rsidRDefault="004F66F2" w:rsidP="004F66F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Regular weekly meetings of the</w:t>
            </w:r>
            <w:r w:rsidR="009079D0" w:rsidRPr="00F85536">
              <w:rPr>
                <w:rFonts w:asciiTheme="minorHAnsi" w:hAnsiTheme="minorHAnsi" w:cs="Arial"/>
                <w:sz w:val="22"/>
              </w:rPr>
              <w:t xml:space="preserve"> International Discussion Group </w:t>
            </w:r>
          </w:p>
        </w:tc>
        <w:tc>
          <w:tcPr>
            <w:tcW w:w="974" w:type="pct"/>
          </w:tcPr>
          <w:p w:rsidR="009079D0" w:rsidRPr="00F85536" w:rsidRDefault="009079D0" w:rsidP="00AE2F82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JPAN</w:t>
            </w:r>
          </w:p>
        </w:tc>
        <w:tc>
          <w:tcPr>
            <w:tcW w:w="748" w:type="pct"/>
          </w:tcPr>
          <w:p w:rsidR="009079D0" w:rsidRPr="00F85536" w:rsidRDefault="00057F2B" w:rsidP="00057F2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Incremental</w:t>
            </w:r>
          </w:p>
        </w:tc>
        <w:tc>
          <w:tcPr>
            <w:tcW w:w="749" w:type="pct"/>
          </w:tcPr>
          <w:p w:rsidR="009079D0" w:rsidRPr="00F85536" w:rsidRDefault="00057F2B" w:rsidP="00057F2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Incremental</w:t>
            </w:r>
          </w:p>
        </w:tc>
      </w:tr>
      <w:tr w:rsidR="009079D0" w:rsidRPr="00F85536" w:rsidTr="00057F2B">
        <w:tc>
          <w:tcPr>
            <w:tcW w:w="2529" w:type="pct"/>
          </w:tcPr>
          <w:p w:rsidR="009079D0" w:rsidRPr="00F85536" w:rsidRDefault="009079D0" w:rsidP="00CE3711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b/>
                <w:sz w:val="22"/>
              </w:rPr>
              <w:t>Interfaith Community Links</w:t>
            </w:r>
          </w:p>
          <w:p w:rsidR="009079D0" w:rsidRPr="00F85536" w:rsidRDefault="00881011" w:rsidP="00057F2B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Establish links with local faith groups</w:t>
            </w:r>
            <w:r>
              <w:rPr>
                <w:rFonts w:asciiTheme="minorHAnsi" w:hAnsiTheme="minorHAnsi" w:cs="Arial"/>
                <w:sz w:val="22"/>
              </w:rPr>
              <w:t xml:space="preserve">.  </w:t>
            </w:r>
            <w:r w:rsidR="00057F2B">
              <w:rPr>
                <w:rFonts w:asciiTheme="minorHAnsi" w:hAnsiTheme="minorHAnsi" w:cs="Arial"/>
                <w:sz w:val="22"/>
              </w:rPr>
              <w:t>Meet with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Revd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Martin Gorrick</w:t>
            </w:r>
            <w:r w:rsidR="00A509B5">
              <w:rPr>
                <w:rFonts w:asciiTheme="minorHAnsi" w:hAnsiTheme="minorHAnsi" w:cs="Arial"/>
                <w:sz w:val="22"/>
              </w:rPr>
              <w:t>, Archdeacon of Oxford</w:t>
            </w:r>
          </w:p>
        </w:tc>
        <w:tc>
          <w:tcPr>
            <w:tcW w:w="974" w:type="pct"/>
          </w:tcPr>
          <w:p w:rsidR="009079D0" w:rsidRPr="00F85536" w:rsidRDefault="00FA7C5F" w:rsidP="00CE3711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BRIC/JLOV</w:t>
            </w:r>
            <w:r>
              <w:rPr>
                <w:rFonts w:asciiTheme="minorHAnsi" w:hAnsiTheme="minorHAnsi" w:cs="Arial"/>
                <w:sz w:val="22"/>
              </w:rPr>
              <w:t xml:space="preserve"> /</w:t>
            </w:r>
            <w:r w:rsidR="00AE2F82">
              <w:rPr>
                <w:rFonts w:asciiTheme="minorHAnsi" w:hAnsiTheme="minorHAnsi" w:cs="Arial"/>
                <w:sz w:val="22"/>
              </w:rPr>
              <w:t>SDEA</w:t>
            </w:r>
          </w:p>
        </w:tc>
        <w:tc>
          <w:tcPr>
            <w:tcW w:w="748" w:type="pct"/>
          </w:tcPr>
          <w:p w:rsidR="009079D0" w:rsidRPr="00F85536" w:rsidRDefault="00057F2B" w:rsidP="00057F2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30</w:t>
            </w:r>
            <w:r w:rsidR="00702B72">
              <w:rPr>
                <w:rFonts w:asciiTheme="minorHAnsi" w:hAnsiTheme="minorHAnsi" w:cs="Arial"/>
                <w:sz w:val="22"/>
              </w:rPr>
              <w:t xml:space="preserve"> Apr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="009079D0" w:rsidRPr="00F85536">
              <w:rPr>
                <w:rFonts w:asciiTheme="minorHAnsi" w:hAnsiTheme="minorHAnsi" w:cs="Arial"/>
                <w:sz w:val="22"/>
              </w:rPr>
              <w:t>2014</w:t>
            </w:r>
          </w:p>
        </w:tc>
        <w:tc>
          <w:tcPr>
            <w:tcW w:w="749" w:type="pct"/>
          </w:tcPr>
          <w:p w:rsidR="009079D0" w:rsidRPr="00F85536" w:rsidRDefault="009079D0" w:rsidP="00CE3711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9079D0" w:rsidRPr="00F85536" w:rsidRDefault="009079D0" w:rsidP="009079D0">
      <w:pPr>
        <w:rPr>
          <w:rFonts w:cs="Arial"/>
          <w:b/>
          <w:sz w:val="24"/>
          <w:szCs w:val="24"/>
        </w:rPr>
      </w:pPr>
    </w:p>
    <w:p w:rsidR="00351AA6" w:rsidRDefault="00351AA6"/>
    <w:sectPr w:rsidR="00351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0"/>
    <w:rsid w:val="00057F2B"/>
    <w:rsid w:val="00103913"/>
    <w:rsid w:val="00351AA6"/>
    <w:rsid w:val="004F66F2"/>
    <w:rsid w:val="00702B72"/>
    <w:rsid w:val="00881011"/>
    <w:rsid w:val="008B6473"/>
    <w:rsid w:val="009079D0"/>
    <w:rsid w:val="009D4EA6"/>
    <w:rsid w:val="00A509B5"/>
    <w:rsid w:val="00AB35AD"/>
    <w:rsid w:val="00AE2F82"/>
    <w:rsid w:val="00B80451"/>
    <w:rsid w:val="00C22952"/>
    <w:rsid w:val="00CE3711"/>
    <w:rsid w:val="00D167C1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79D0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79D0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5ED2171E</Template>
  <TotalTime>102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13</cp:revision>
  <cp:lastPrinted>2014-03-10T10:49:00Z</cp:lastPrinted>
  <dcterms:created xsi:type="dcterms:W3CDTF">2014-01-16T13:10:00Z</dcterms:created>
  <dcterms:modified xsi:type="dcterms:W3CDTF">2014-03-17T11:03:00Z</dcterms:modified>
</cp:coreProperties>
</file>